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коэффициенте трудового участия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X2128c21dd864e926f01de49d459039ea66ad687"/>
    <w:p>
      <w:pPr>
        <w:pStyle w:val="Heading1"/>
      </w:pPr>
      <w:r>
        <w:t xml:space="preserve">Положение о коэффициенте трудового участия</w:t>
      </w:r>
    </w:p>
    <w:bookmarkStart w:id="9" w:name="о-распределении-премии-бригады-по-кту"/>
    <w:p>
      <w:pPr>
        <w:pStyle w:val="Heading2"/>
      </w:pPr>
      <w:r>
        <w:t xml:space="preserve">о распределении премии бригады по КТУ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Базовое значение КТУ. 2.1.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Показатели повышения и снижения КТУ. 3.1.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расчёта. 4.1.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Оформление решения. 5.1. 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Заключительные положения. 6.1. 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коэффициенте трудового участия</dc:title>
  <dc:creator/>
  <dc:language>ru</dc:language>
  <cp:keywords/>
  <dcterms:created xsi:type="dcterms:W3CDTF">2026-11-07T06:53:00Z</dcterms:created>
  <dcterms:modified xsi:type="dcterms:W3CDTF">2026-11-07T06:53:00Z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