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коммерческой тайне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оложение-о-коммерческой-тайне"/>
    <w:p>
      <w:pPr>
        <w:pStyle w:val="Heading1"/>
      </w:pPr>
      <w:r>
        <w:t xml:space="preserve">Положение о коммерческой тайне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Общие положения. Настоящее Положение разработано на основании Федерального закона от 29.07.2004 № 98-ФЗ «О коммерческой тайне» и Трудового кодекса РФ и устанавливает порядок обращения со сведениями, составляющими коммерческую тайну ООО «Ромашка».</w:t>
      </w:r>
    </w:p>
    <w:p>
      <w:pPr>
        <w:pStyle w:val="BodyText"/>
      </w:pPr>
      <w:r>
        <w:t xml:space="preserve">2. Сведения, составляющие коммерческую тайну. К коммерческой тайне отнесены: себестоимость продукции и закупочные цены; клиентская база и условия договоров с покупателями; рецептуры и технологические параметры производства; бизнес-план и маркетинговая стратегия на 2026–2027 годы; методы ценообразования. Перечень приведён в приложении № 1 к настоящему Положению.</w:t>
      </w:r>
    </w:p>
    <w:p>
      <w:pPr>
        <w:pStyle w:val="BodyText"/>
      </w:pPr>
      <w:r>
        <w:t xml:space="preserve">3. Права и обязанности. Генеральный директор утверждает перечень сведений, определяет уровни доступа и назначает ответственных за режим. Работник, получивший доступ, не разглашает сведения, соблюдает порядок работы с носителями, сообщает о подозрении на утечку и возвращает носители при увольнении.</w:t>
      </w:r>
    </w:p>
    <w:p>
      <w:pPr>
        <w:pStyle w:val="BodyText"/>
      </w:pPr>
      <w:r>
        <w:t xml:space="preserve">4. Порядок доступа. Доступ предоставляется приказом руководителя на основании заявки начальника подразделения. Работник подписывает обязательство о неразглашении, знакомится с Положением под подпись; учёт лиц с доступом ведёт отдел кадров.</w:t>
      </w:r>
    </w:p>
    <w:p>
      <w:pPr>
        <w:pStyle w:val="BodyText"/>
      </w:pPr>
      <w:r>
        <w:t xml:space="preserve">5. Меры охраны. Введены: учёт носителей и пропускной режим в производственный корпус; ограничение доступа к папке с конструкторской документацией по списку; нанесение грифа «Коммерческая тайна» с указанием обладателя на бумажных и электронных документах.</w:t>
      </w:r>
    </w:p>
    <w:p>
      <w:pPr>
        <w:pStyle w:val="BodyText"/>
      </w:pPr>
      <w:r>
        <w:t xml:space="preserve">6. Ответственность. За разглашение сведений работник несёт дисциплинарную, материальную, административную и уголовную ответственность в случаях, предусмотренных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коммерческой тайне</dc:title>
  <dc:creator/>
  <dc:language>ru</dc:language>
  <cp:keywords/>
  <dcterms:created xsi:type="dcterms:W3CDTF">2026-10-28T23:28:49Z</dcterms:created>
  <dcterms:modified xsi:type="dcterms:W3CDTF">2026-10-28T23:28:49Z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