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дисциплинарном взыскании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01bb48a84f3ba4dbb51c0280f6f8d9f7efe512a"/>
    <w:p>
      <w:pPr>
        <w:pStyle w:val="Heading1"/>
      </w:pPr>
      <w:r>
        <w:t xml:space="preserve">Положение о дисциплинарном взыскании работников</w:t>
      </w:r>
    </w:p>
    <w:bookmarkStart w:id="9" w:name="Xb2b4f15a36d34206dafc1bd285119faf1466267"/>
    <w:p>
      <w:pPr>
        <w:pStyle w:val="Heading2"/>
      </w:pPr>
      <w:r>
        <w:t xml:space="preserve">порядок применения дисциплинарных взысканий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Виды взысканий: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фиксации проступка: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Объяснение работника: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Снятие взыскания: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Обжалование: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дисциплинарном взыскании работников</dc:title>
  <dc:creator/>
  <dc:language>ru</dc:language>
  <cp:keywords/>
  <dcterms:created xsi:type="dcterms:W3CDTF">2026-11-05T20:32:10Z</dcterms:created>
  <dcterms:modified xsi:type="dcterms:W3CDTF">2026-11-05T20:32:10Z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