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«СтройМонтаж»</w:t>
      </w:r>
    </w:p>
    <w:p>
      <w:pPr>
        <w:pStyle w:val="BodyText"/>
      </w:pPr>
      <w:r>
        <w:t xml:space="preserve">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и гражданин Иванов Иван Иванович,</w:t>
      </w:r>
    </w:p>
    <w:p>
      <w:pPr>
        <w:pStyle w:val="BodyText"/>
      </w:pPr>
      <w:r>
        <w:t xml:space="preserve">именуемый в дальнейшем «Работник», заключили настоящий договор о нижеследующем: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условием-о-подвижном-характере-работы"/>
    <w:p>
      <w:pPr>
        <w:pStyle w:val="Heading2"/>
      </w:pPr>
      <w:r>
        <w:t xml:space="preserve">с условием о подвижном характере работы</w:t>
      </w:r>
    </w:p>
    <w:p>
      <w:pPr>
        <w:pStyle w:val="FirstParagraph"/>
      </w:pPr>
      <w:r>
        <w:t xml:space="preserve">10 ноября 2026 г. № 15/2026</w:t>
      </w:r>
    </w:p>
    <w:p>
      <w:pPr>
        <w:pStyle w:val="BodyText"/>
      </w:pPr>
      <w:r>
        <w:t xml:space="preserve">1. Работник принимается на должность монтажника в службу строительства.</w:t>
      </w:r>
    </w:p>
    <w:p>
      <w:pPr>
        <w:pStyle w:val="BodyText"/>
      </w:pPr>
      <w:r>
        <w:t xml:space="preserve">2. Место работы: ООО «СтройМонтаж», г. Тверь. Работа носит подвижной характер: трудовая функция выполняется на объектах строительства, расположенных на территории Тверской области, по адресам, которые Работодатель определяет производственными заданиями.</w:t>
      </w:r>
    </w:p>
    <w:p>
      <w:pPr>
        <w:pStyle w:val="BodyText"/>
      </w:pPr>
      <w:r>
        <w:t xml:space="preserve">3. Работнику устанавливается надбавка за подвижной характер работы в размере 30 процентов должностного оклада. Надбавка выплачивается одновременно с заработной платой за месяц.</w:t>
      </w:r>
    </w:p>
    <w:p>
      <w:pPr>
        <w:pStyle w:val="BodyText"/>
      </w:pPr>
      <w:r>
        <w:t xml:space="preserve">4. Работнику возмещаются расходы, связанные со служебными поездками: проезд к месту работы и обратно, проживание вне места постоянного жительства, суточные. Размеры и порядок возмещения установлены Положением о разъездном характере работы.</w:t>
      </w:r>
    </w:p>
    <w:p>
      <w:pPr>
        <w:pStyle w:val="BodyText"/>
      </w:pPr>
      <w:r>
        <w:t xml:space="preserve">5. Работнику предоставляется ежегодный основной оплачиваемый отпуск продолжительностью 28 календарных дней.</w:t>
      </w:r>
    </w:p>
    <w:p>
      <w:pPr>
        <w:pStyle w:val="BodyText"/>
      </w:pPr>
      <w:r>
        <w:t xml:space="preserve">6. Настоящий договор вступает в силу с 10 ноября 2026 года и заключён на неопределённый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2026-11-07T20:43:11Z</dcterms:created>
  <dcterms:modified xsi:type="dcterms:W3CDTF">2026-11-07T20:43:11Z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