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План-график работ</w:t>
      </w:r>
    </w:p>
    <w:p>
      <w:pPr>
        <w:pStyle w:val="FirstParagraph"/>
      </w:pPr>
      <w:r>
        <w:t xml:space="preserve">Приложение № 2 к договору подряда № 12</w:t>
      </w:r>
    </w:p>
    <w:p>
      <w:pPr>
        <w:pStyle w:val="BodyText"/>
      </w:pPr>
      <w:r>
        <w:t xml:space="preserve">от 2 ноября 2026 г.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«Мастер»</w:t>
      </w:r>
    </w:p>
    <w:bookmarkStart w:id="10" w:name="план-график-работ"/>
    <w:p>
      <w:pPr>
        <w:pStyle w:val="Heading1"/>
      </w:pPr>
      <w:r>
        <w:t xml:space="preserve">План-график работ</w:t>
      </w:r>
    </w:p>
    <w:bookmarkStart w:id="9" w:name="Xf2d155e40cc451004ba17276d46514943b4d1da"/>
    <w:p>
      <w:pPr>
        <w:pStyle w:val="Heading2"/>
      </w:pPr>
      <w:r>
        <w:t xml:space="preserve">по договору подряда № 12 от 2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Работы выполняются в четыре этапа. Срок этапа — период, в который подрядчик обязан закончить работы и передать результат заказчику.</w:t>
      </w:r>
    </w:p>
    <w:p>
      <w:pPr>
        <w:pStyle w:val="BodyText"/>
      </w:pPr>
      <w:r>
        <w:t xml:space="preserve">Приёмка этапа — в течение 5 рабочих дней с даты получения заказчиком уведомления о готовности. Оплата этапа — в течение 10 рабочих дней после подписания акта.</w:t>
      </w:r>
    </w:p>
    <w:p>
      <w:pPr>
        <w:pStyle w:val="BodyText"/>
      </w:pPr>
      <w:r>
        <w:t xml:space="preserve">Изменение сроков оформляется дополнительным соглашением к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работ</dc:title>
  <dc:creator/>
  <dc:language>ru</dc:language>
  <cp:keywords/>
  <dcterms:created xsi:type="dcterms:W3CDTF">2026-11-01T20:34:14Z</dcterms:created>
  <dcterms:modified xsi:type="dcterms:W3CDTF">2026-11-01T20:34:14Z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