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письмо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Исх. № 27 от 16 ноября 2026 г.</w:t>
      </w:r>
    </w:p>
    <w:bookmarkStart w:id="10" w:name="информационное-письмо"/>
    <w:p>
      <w:pPr>
        <w:pStyle w:val="Heading1"/>
      </w:pPr>
      <w:r>
        <w:t xml:space="preserve">Информационное письмо</w:t>
      </w:r>
    </w:p>
    <w:bookmarkStart w:id="9" w:name="X5bf4ff5988e2817e7df1b33de4d52075d1e05fa"/>
    <w:p>
      <w:pPr>
        <w:pStyle w:val="Heading2"/>
      </w:pPr>
      <w:r>
        <w:t xml:space="preserve">о применении упрощённой системы налогообложения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применяет упрощённую систему налогообложения с 1 января 2024 года. Объект налогообложения — «доходы, уменьшенные на величину расходов».</w:t>
      </w:r>
    </w:p>
    <w:p>
      <w:pPr>
        <w:pStyle w:val="BodyText"/>
      </w:pPr>
      <w:r>
        <w:t xml:space="preserve">С 1 января 2026 года операции по реализации товаров, работ и услуг НДС не облагаются: доход организации за 2025 год не превысил 20 млн рублей, поэтому она освобождена от исполнения обязанностей налогоплательщика НДС по статье 145 Налогового кодекса РФ.</w:t>
      </w:r>
    </w:p>
    <w:p>
      <w:pPr>
        <w:pStyle w:val="BodyText"/>
      </w:pPr>
      <w:r>
        <w:t xml:space="preserve">Просим учитывать эти сведения при оформлении договоров, счетов и первичных документов. При изменении режима налогообложения организация сообщит об этом отдельным письмом.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</dc:title>
  <dc:creator/>
  <dc:language>ru</dc:language>
  <cp:keywords/>
  <dcterms:created xsi:type="dcterms:W3CDTF">2026-11-07T20:42:44Z</dcterms:created>
  <dcterms:modified xsi:type="dcterms:W3CDTF">2026-11-07T20:42:44Z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