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погашении задолженности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Исх. № 87</w:t>
      </w:r>
    </w:p>
    <w:bookmarkStart w:id="10" w:name="письмо-о-погашении-задолженности"/>
    <w:p>
      <w:pPr>
        <w:pStyle w:val="Heading1"/>
      </w:pPr>
      <w:r>
        <w:t xml:space="preserve">Письмо о погашении задолженности</w:t>
      </w:r>
    </w:p>
    <w:bookmarkStart w:id="9" w:name="по-акту-сверки-взаимных-расчётов"/>
    <w:p>
      <w:pPr>
        <w:pStyle w:val="Heading2"/>
      </w:pPr>
      <w:r>
        <w:t xml:space="preserve">по акту сверки взаимных расчётов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По акту сверки взаимных расчётов за период с 1 января по 30 сентября 2026 года, подписанному обеими сторонами 12 октября 2026 года, за ООО «Вектор» числится задолженность перед ООО «Ромашка» по договору поставки от 14 февраля 2026 года № 12/П в размере 486 000 рублей.</w:t>
      </w:r>
    </w:p>
    <w:p>
      <w:pPr>
        <w:pStyle w:val="BodyText"/>
      </w:pPr>
      <w:r>
        <w:t xml:space="preserve">Прошу погасить задолженность в срок до 1 декабря 2026 года перечислением на расчётный счёт ООО «Ромашка». Реквизиты — в приложении к письму.</w:t>
      </w:r>
    </w:p>
    <w:p>
      <w:pPr>
        <w:pStyle w:val="BodyText"/>
      </w:pPr>
      <w:r>
        <w:t xml:space="preserve">Если оплата не поступит в указанный срок, мы будем вынуждены обратиться в арбитражный суд с требованием о взыскании долга и процентов по статье 395 ГК РФ.</w:t>
      </w:r>
    </w:p>
    <w:p>
      <w:pPr>
        <w:pStyle w:val="BodyText"/>
      </w:pPr>
      <w:r>
        <w:t xml:space="preserve">Приложение: копия акта сверки на 2 л. в 1 экз.; копия договора поставки от 14.02.2026 № 12/П на 5 л. в 1 экз.; реквизиты для оплаты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погашении задолженности</dc:title>
  <dc:creator/>
  <dc:language>ru</dc:language>
  <cp:keywords/>
  <dcterms:created xsi:type="dcterms:W3CDTF">2026-11-04T20:34:09Z</dcterms:created>
  <dcterms:modified xsi:type="dcterms:W3CDTF">2026-11-04T20:34:09Z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