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погашении задолженности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bookmarkStart w:id="10" w:name="письмо-о-погашении-задолженности"/>
    <w:p>
      <w:pPr>
        <w:pStyle w:val="Heading1"/>
      </w:pPr>
      <w:r>
        <w:t xml:space="preserve">Письмо о погашении задолженности</w:t>
      </w:r>
    </w:p>
    <w:bookmarkStart w:id="9" w:name="X2f4bd80f3b6a8ba514deea91fb1ae8dfec3ac38"/>
    <w:p>
      <w:pPr>
        <w:pStyle w:val="Heading2"/>
      </w:pPr>
      <w:r>
        <w:t xml:space="preserve">по договору поставки от 14 апреля 2026 г. № 27/П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По договору поставки от 14 апреля 2026 г. № 27/П ООО «Ромашка» отгрузило ООО «Северный склад» товар на сумму 486 000 рублей. Товар принят по универсальному передаточному документу от 28 сентября 2026 г. № 341 без замечаний.</w:t>
      </w:r>
    </w:p>
    <w:p>
      <w:pPr>
        <w:pStyle w:val="BodyText"/>
      </w:pPr>
      <w:r>
        <w:t xml:space="preserve">Срок оплаты по пункту 4.2 договора истёк 12 октября 2026 года. На 16 ноября 2026 года на счёте ООО «Ромашка» числится задолженность 486 000 рублей, оплата не поступила.</w:t>
      </w:r>
    </w:p>
    <w:p>
      <w:pPr>
        <w:pStyle w:val="BodyText"/>
      </w:pPr>
      <w:r>
        <w:t xml:space="preserve">Прошу перечислить 486 000 рублей на расчётный счёт ООО «Ромашка» до 30 ноября 2026 года. Если оплата не поступит, будем начислять проценты по статье 395 ГК РФ и обращаться в арбитражный суд.</w:t>
      </w:r>
    </w:p>
    <w:p>
      <w:pPr>
        <w:pStyle w:val="BodyText"/>
      </w:pPr>
      <w:r>
        <w:t xml:space="preserve">Приложение: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отправителя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погашении задолженности</dc:title>
  <dc:creator/>
  <dc:language>ru</dc:language>
  <cp:keywords/>
  <dcterms:created xsi:type="dcterms:W3CDTF">2026-10-30T21:49:43Z</dcterms:created>
  <dcterms:modified xsi:type="dcterms:W3CDTF">2026-10-30T21:49:43Z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