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Передаточный акт</w:t>
      </w:r>
    </w:p>
    <w:p>
      <w:pPr>
        <w:pStyle w:val="FirstParagraph"/>
      </w:pPr>
      <w:r>
        <w:t xml:space="preserve">Утверждён 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передаточный-акт"/>
    <w:p>
      <w:pPr>
        <w:pStyle w:val="Heading1"/>
      </w:pPr>
      <w:r>
        <w:t xml:space="preserve">Передаточный акт</w:t>
      </w:r>
    </w:p>
    <w:bookmarkStart w:id="9" w:name="Xb735a88d72edf1b23aeb526e700e6e7bdb6a84f"/>
    <w:p>
      <w:pPr>
        <w:pStyle w:val="Heading2"/>
      </w:pPr>
      <w:r>
        <w:t xml:space="preserve">о передаче прав и обязанностей при реорганизации в форме присоединения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передаваемых прав и обязанностей: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Общество-1 (правопреемник)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Общество-2 (присоединяемое)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</dc:title>
  <dc:creator/>
  <dc:language>ru</dc:language>
  <cp:keywords/>
  <dcterms:created xsi:type="dcterms:W3CDTF">2026-10-31T20:34:16Z</dcterms:created>
  <dcterms:modified xsi:type="dcterms:W3CDTF">2026-10-31T20:34:16Z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