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Передаточный акт</w:t>
      </w:r>
    </w:p>
    <w:p>
      <w:pPr>
        <w:pStyle w:val="FirstParagraph"/>
      </w:pPr>
      <w:r>
        <w:t xml:space="preserve">Приложение к решению общего собрания участников</w:t>
      </w:r>
    </w:p>
    <w:p>
      <w:pPr>
        <w:pStyle w:val="BodyText"/>
      </w:pPr>
      <w:r>
        <w:t xml:space="preserve">ООО «Ромашка» от 10 ноября 2026 г. № 7</w:t>
      </w:r>
    </w:p>
    <w:bookmarkStart w:id="10" w:name="передаточный-акт"/>
    <w:p>
      <w:pPr>
        <w:pStyle w:val="Heading1"/>
      </w:pPr>
      <w:r>
        <w:t xml:space="preserve">Передаточный акт</w:t>
      </w:r>
    </w:p>
    <w:bookmarkStart w:id="9" w:name="X10d1bb9279f03ee746c943376673fc07ea63dae"/>
    <w:p>
      <w:pPr>
        <w:pStyle w:val="Heading2"/>
      </w:pPr>
      <w:r>
        <w:t xml:space="preserve">при реорганизации ООО «Ромашка» в форме преобразования в акционерное общество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Общество с ограниченной ответственностью «Ромашка» (ОГРН 1157746000000, ИНН 7701000000), далее — Общество, в лице генерального директора П. П. Петрова, действующего на основании устава, передаёт, а акционерное общество «Ромашка» (ОГРН 1267746000000, ИНН 7701000000), создаваемое в результате преобразования Общества, далее — Правопреемник, в лице генерального директора П. П. Петрова принимает имущество, права и обязательства Общества в объёме и на условиях настоящего акта.</w:t>
      </w:r>
    </w:p>
    <w:p>
      <w:pPr>
        <w:pStyle w:val="BodyText"/>
      </w:pPr>
      <w:r>
        <w:t xml:space="preserve">Преобразование проводится по решению общего собрания участников Общества от 10 ноября 2026 г. № 7. Правопреемник создаётся с уставным капиталом 100 000 рублей, разделённым на 100 обыкновенных именных бездокументарных акций номинальной стоимостью 1 000 рублей каждая.</w:t>
      </w:r>
    </w:p>
    <w:p>
      <w:pPr>
        <w:pStyle w:val="BodyText"/>
      </w:pPr>
      <w:r>
        <w:t xml:space="preserve">По состоянию на 30 сентября 2026 года Общество передаёт Правопреемнику основные средства по остаточной стоимости 4 200 000 рублей, запасы на 1 350 000 рублей, денежные средства на расчётном счёте 860 000 рублей, дебиторскую задолженность покупателей 720 000 рублей, кредиторскую задолженность перед поставщиками 1 100 000 рублей, задолженность по налогам и взносам 240 000 рублей. Полная опись имущества и обязательств с расшифровкой по каждому контрагенту — в приложениях к настоящему акту.</w:t>
      </w:r>
    </w:p>
    <w:p>
      <w:pPr>
        <w:pStyle w:val="BodyText"/>
      </w:pPr>
      <w:r>
        <w:t xml:space="preserve">Права и обязанности Общества по договорам с покупателями, поставщиками, банком и работниками переходят к Правопреемнику в полном объёме. Кредиторы уведомлены о реорганизации в порядке ст. 60 ГК РФ.</w:t>
      </w:r>
    </w:p>
    <w:p>
      <w:pPr>
        <w:pStyle w:val="BodyText"/>
      </w:pPr>
      <w:r>
        <w:t xml:space="preserve">Настоящий акт составлен в трёх экземплярах: для Общества, для Правопреемника и для регистрирующего органа.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Общество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Правопреемник</w:t>
            </w:r>
          </w:p>
          <w:p>
            <w:pPr>
              <w:pStyle w:val="BodyText"/>
            </w:pPr>
            <w:r>
              <w:t xml:space="preserve">Генеральный директор АО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Передаточный акт</dc:title>
  <dc:creator/>
  <dc:language>ru</dc:language>
  <cp:keywords/>
  <dcterms:created xsi:type="dcterms:W3CDTF">2026-11-07T20:42:24Z</dcterms:created>
  <dcterms:modified xsi:type="dcterms:W3CDTF">2026-11-07T20:42:24Z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