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безопасности объекта спорта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аспорт-безопасности-объекта-спорта"/>
    <w:p>
      <w:pPr>
        <w:pStyle w:val="Heading1"/>
      </w:pPr>
      <w:r>
        <w:t xml:space="preserve">Паспорт безопасности объекта спорта</w:t>
      </w:r>
    </w:p>
    <w:bookmarkStart w:id="9" w:name="Xb696a526a6a4636af92e3b659043d8bb58f59b4"/>
    <w:p>
      <w:pPr>
        <w:pStyle w:val="Heading2"/>
      </w:pPr>
      <w:r>
        <w:t xml:space="preserve">физкультурно-оздоровительный комплекс «Старт»</w:t>
      </w:r>
    </w:p>
    <w:p>
      <w:pPr>
        <w:pStyle w:val="FirstParagraph"/>
      </w:pPr>
      <w:r>
        <w:t xml:space="preserve">СОГЛАСОВАНО: ____________________________________________</w:t>
      </w:r>
    </w:p>
    <w:p>
      <w:pPr>
        <w:pStyle w:val="BodyText"/>
      </w:pPr>
      <w:r>
        <w:t xml:space="preserve">I. Общие сведения об объекте спорта: наименование, адрес, телефоны; вид объекта по классификатору Минспорта России; категория опасности; собственник или лицо, использующее объект на ином законном основании; ОГРН (паспортные данные); реквизиты правоустанавливающего документа.</w:t>
      </w:r>
    </w:p>
    <w:p>
      <w:pPr>
        <w:pStyle w:val="BodyText"/>
      </w:pPr>
      <w:r>
        <w:t xml:space="preserve">II. Общие сведения о работниках и (или) об арендаторах: численность по штатному расписанию; привлечённые по договорам подряда; руководящий состав; ответственный за безопасность; перечень должностных лиц, имеющих доступ к паспорту.</w:t>
      </w:r>
    </w:p>
    <w:p>
      <w:pPr>
        <w:pStyle w:val="BodyText"/>
      </w:pPr>
      <w:r>
        <w:t xml:space="preserve">III. Сведения о потенциально опасных участках и (или) критических элементах: перечень участков; перечень критических элементов.</w:t>
      </w:r>
    </w:p>
    <w:p>
      <w:pPr>
        <w:pStyle w:val="BodyText"/>
      </w:pPr>
      <w:r>
        <w:t xml:space="preserve">IV. Возможные последствия совершения террористического акта на объекте: сценарии, зоны поражения, число людей в зоне риска.</w:t>
      </w:r>
    </w:p>
    <w:p>
      <w:pPr>
        <w:pStyle w:val="BodyText"/>
      </w:pPr>
      <w:r>
        <w:t xml:space="preserve">V. Оценка социально-экономических последствий: потери от остановки работы, затраты на восстановление, число пострадавших.</w:t>
      </w:r>
    </w:p>
    <w:p>
      <w:pPr>
        <w:pStyle w:val="BodyText"/>
      </w:pPr>
      <w:r>
        <w:t xml:space="preserve">VI. Силы и средства, привлекаемые для обеспечения антитеррористической защищённости: состав охраны и её квалификация; инженерно-технические средства, связь, оповещение.</w:t>
      </w:r>
    </w:p>
    <w:p>
      <w:pPr>
        <w:pStyle w:val="BodyText"/>
      </w:pPr>
      <w:r>
        <w:t xml:space="preserve">VII. Меры по инженерно-технической, физической защите и противодействию терроризму: пропускной режим, осмотры, инструктажи, учения, порядок оповещения и эвакуации.</w:t>
      </w:r>
    </w:p>
    <w:p>
      <w:pPr>
        <w:pStyle w:val="BodyText"/>
      </w:pPr>
      <w:r>
        <w:t xml:space="preserve">Приложение: 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безопасности объекта спорта</dc:title>
  <dc:creator/>
  <dc:language>ru</dc:language>
  <cp:keywords/>
  <dcterms:created xsi:type="dcterms:W3CDTF">2026-11-06T21:54:52Z</dcterms:created>
  <dcterms:modified xsi:type="dcterms:W3CDTF">2026-11-06T21:54:52Z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