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закупок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50f917f716a34933e9e91205bfd865a3d640397"/>
    <w:p>
      <w:pPr>
        <w:pStyle w:val="Heading2"/>
      </w:pPr>
      <w:r>
        <w:t xml:space="preserve">о проверке товара по перечню параллельного импорта перед закупкой</w:t>
      </w:r>
    </w:p>
    <w:p>
      <w:pPr>
        <w:pStyle w:val="FirstParagraph"/>
      </w:pPr>
      <w:r>
        <w:t xml:space="preserve">16 ноября 2026 г. № 21</w:t>
      </w:r>
    </w:p>
    <w:p>
      <w:pPr>
        <w:pStyle w:val="BodyText"/>
      </w:pPr>
      <w:r>
        <w:t xml:space="preserve">Отдел закупок готовит контракт на поставку партии ноутбуков и картриджей к принтерам. Поставщик предлагает ввезти товар по параллельному импорту без согласия правообладателя.</w:t>
      </w:r>
    </w:p>
    <w:p>
      <w:pPr>
        <w:pStyle w:val="BodyText"/>
      </w:pPr>
      <w:r>
        <w:t xml:space="preserve">С 27 мая 2026 года действует перечень товаров, разрешённых к ввозу без согласия правообладателя, в редакции приказа Минпромторга России от 26.09.2025 № 4769. Из перечня исключены компьютеры и запоминающие устройства ряда марок, в том числе ACER, ASUS, HP, IBM, Intel, KINGSTON, SAMSUNG, TOSHIBA, а также оргтехника и картриджи Ricoh. Ввоз этих товаров без согласия правообладателя с указанной даты не допускается.</w:t>
      </w:r>
    </w:p>
    <w:p>
      <w:pPr>
        <w:pStyle w:val="BodyText"/>
      </w:pPr>
      <w:r>
        <w:t xml:space="preserve">Прошу поручить отделу закупок до подписания контракта сверить каждую позицию с действующей редакцией перечня по коду ТН ВЭД и товарному знаку и по исключённым позициям запросить у поставщика письменное согласие правообладателя либо заменить товар на позицию из перечня.</w:t>
      </w:r>
    </w:p>
    <w:p>
      <w:pPr>
        <w:pStyle w:val="BodyText"/>
      </w:pPr>
      <w:r>
        <w:t xml:space="preserve">Приложение: проект контракта на 5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закупок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2026-11-07T20:42:20Z</dcterms:created>
  <dcterms:modified xsi:type="dcterms:W3CDTF">2026-11-07T20:42:20Z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