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Оферта на оказание услуг пункта выдачи заказов Ozon</w:t>
      </w:r>
    </w:p>
    <w:p>
      <w:pPr>
        <w:pStyle w:val="FirstParagraph"/>
      </w:pPr>
      <w:r>
        <w:t xml:space="preserve">ООО «Озон»</w:t>
      </w:r>
    </w:p>
    <w:p>
      <w:pPr>
        <w:pStyle w:val="BodyText"/>
      </w:pPr>
      <w:r>
        <w:t xml:space="preserve">Владельцу пункта выдачи заказов</w:t>
      </w:r>
    </w:p>
    <w:bookmarkStart w:id="10" w:name="X9b965dbdcac2c7c3eae1de044a76d638ea6c1dc"/>
    <w:p>
      <w:pPr>
        <w:pStyle w:val="Heading1"/>
      </w:pPr>
      <w:r>
        <w:t xml:space="preserve">Оферта на оказание услуг пункта выдачи заказов Ozon</w:t>
      </w:r>
    </w:p>
    <w:bookmarkStart w:id="9" w:name="X153bf4ade93d902f29cab95fa602a8d757208fc"/>
    <w:p>
      <w:pPr>
        <w:pStyle w:val="Heading2"/>
      </w:pPr>
      <w:r>
        <w:t xml:space="preserve">с изменениями, действующими с 1 октября 2026 года</w:t>
      </w:r>
    </w:p>
    <w:p>
      <w:pPr>
        <w:pStyle w:val="FirstParagraph"/>
      </w:pPr>
      <w:r>
        <w:t xml:space="preserve">1 октября 2026 г.</w:t>
      </w:r>
    </w:p>
    <w:p>
      <w:pPr>
        <w:pStyle w:val="BodyText"/>
      </w:pPr>
      <w:r>
        <w:t xml:space="preserve">Настоящая оферта определяет порядок оказания услуг пунктом выдачи заказов (далее — ПВЗ) и условия выплаты вознаграждения. Оферта применяется в части, не противоречащей бланку-подтверждению и условиям, согласованным в информационной системе Ozon.</w:t>
      </w:r>
    </w:p>
    <w:p>
      <w:pPr>
        <w:pStyle w:val="BodyText"/>
      </w:pPr>
      <w:r>
        <w:t xml:space="preserve">Вознаграждение ПВЗ за выдачу товара состоит из базовой ставки и надбавок. Базовая ставка зависит от региона, города и локации и составляет от 1% до 2,5%, но не более 250 ₽ за выдачу одного товара. Надбавки начисляются за расположение на первом этаже или выше, премиальную локацию, внешний брендинг, качество работы, монобрендовость, график без выходных и обустройство ПВЗ.</w:t>
      </w:r>
    </w:p>
    <w:p>
      <w:pPr>
        <w:pStyle w:val="BodyText"/>
      </w:pPr>
      <w:r>
        <w:t xml:space="preserve">За размещение товаров продавцов в ПВЗ Ozon взимает плату в размере 0,20 ₽ за 1 литр в день, за подготовку товара к отправке — 5 ₽ за товар, за перемещение товара на ячейку — 5 ₽ за товар. Владелец ПВЗ обязан установить стеллажи с коробками-ячейками в срок до 1 октября включительно. При невыполнении требования Ozon вправе выставить штраф 2 500 ₽ за каждый выявленный случай, но не чаще одного раза в 14 дней.</w:t>
      </w:r>
    </w:p>
    <w:p>
      <w:pPr>
        <w:pStyle w:val="BodyText"/>
      </w:pPr>
      <w:r>
        <w:t xml:space="preserve">Владелец ПВЗ на программе «Максимум Бренда» обязан внести обеспечительный платёж в размере, указанном в информационной системе Ozon. Обязательство считается исполненным с момента зачисления денежных средств на банковский счёт Ozon.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Владелец ПВЗ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Оферта на оказание услуг пункта выдачи заказов Ozon</dc:title>
  <dc:creator/>
  <dc:language>ru</dc:language>
  <cp:keywords/>
  <dcterms:created xsi:type="dcterms:W3CDTF">2026-10-28T23:28:30Z</dcterms:created>
  <dcterms:modified xsi:type="dcterms:W3CDTF">2026-10-28T23:28:30Z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