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X167cbd2484f408acf9d8cee8c5b93256a06d1f2"/>
    <w:p>
      <w:pPr>
        <w:pStyle w:val="Heading2"/>
      </w:pPr>
      <w:r>
        <w:t xml:space="preserve">на требование о занижении налоговой базы в расчёте 6-НДФЛ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ответ на требование № ______ от «___» __________ 20__ г. о предоставлении пояснений о возможном занижении налоговой базы в расчёте 6-НДФЛ за ____________ сообщаем следующее: ________________________________________________</w:t>
      </w:r>
    </w:p>
    <w:p>
      <w:pPr>
        <w:pStyle w:val="BodyText"/>
      </w:pPr>
      <w:r>
        <w:t xml:space="preserve">В расчёте 6-НДФЛ за ____________ ошибок и противоречий нет. Расхождение возникло потому, что ______________________________________________________________________________________</w:t>
      </w:r>
    </w:p>
    <w:p>
      <w:pPr>
        <w:pStyle w:val="BodyText"/>
      </w:pPr>
      <w:r>
        <w:t xml:space="preserve">Налоговая база по НДФЛ ___________________________________. Оснований подавать уточнённый расчёт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2026-11-03T20:35:24Z</dcterms:created>
  <dcterms:modified xsi:type="dcterms:W3CDTF">2026-11-03T20:35:24Z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