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Пояснения по требованию о занижении базы для исчисления страховых взносов</w:t>
      </w:r>
    </w:p>
    <w:p>
      <w:pPr>
        <w:pStyle w:val="FirstParagraph"/>
      </w:pPr>
      <w:r>
        <w:t xml:space="preserve">В ИФНС России № 15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10</w:t>
      </w:r>
    </w:p>
    <w:bookmarkStart w:id="10" w:name="X74544c559d1339e339c12052cffa96e8acce410"/>
    <w:p>
      <w:pPr>
        <w:pStyle w:val="Heading1"/>
      </w:pPr>
      <w:r>
        <w:t xml:space="preserve">Пояснения по требованию о занижении базы для исчисления страховых взносов</w:t>
      </w:r>
    </w:p>
    <w:bookmarkStart w:id="9" w:name="X61ed409d4715e4967d14d655c2871b917f4fbbf"/>
    <w:p>
      <w:pPr>
        <w:pStyle w:val="Heading2"/>
      </w:pPr>
      <w:r>
        <w:t xml:space="preserve">к расчёту по страховым взносам за 9 месяцев 2026 года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На требование от 20.10.2026 № 4521 о предоставлении пояснений по расчёту по страховым взносам за 9 месяцев 2026 года сообщаем следующее.</w:t>
      </w:r>
    </w:p>
    <w:p>
      <w:pPr>
        <w:pStyle w:val="BodyText"/>
      </w:pPr>
      <w:r>
        <w:t xml:space="preserve">База для исчисления страховых взносов занижена не была. Расчёт по страховым взносам составлен по данным бухгалтерского учёта и первичных документов: выплаты в пользу работников отражены в полном объёме в разделе 3 по каждому застрахованному лицу, взносы начислены по единому тарифу 30 % в пределах единой предельной базы 2 979 000 рублей и 15,1 % сверх неё.</w:t>
      </w:r>
    </w:p>
    <w:p>
      <w:pPr>
        <w:pStyle w:val="BodyText"/>
      </w:pPr>
      <w:r>
        <w:t xml:space="preserve">Среднемесячная выплата в пользу работников ниже среднего размера оплаты труда по виду экономической деятельности, поскольку в отчётном периоде часть работников находилась в отпуске без сохранения заработной платы, а в компании не было премий и выплат стимулирующего характера. Закон не обязывает работодателя платить зарплату на уровне среднеотраслевого показателя: по ст. 133 ТК РФ месячная зарплата при полной норме не может быть ниже МРОТ, который с 01.01.2026 составляет 27 093 рубля.</w:t>
      </w:r>
    </w:p>
    <w:p>
      <w:pPr>
        <w:pStyle w:val="BodyText"/>
      </w:pPr>
      <w:r>
        <w:t xml:space="preserve">По руководителю — единственному участнику общества взносы начисляются с выплат не ниже МРОТ по п. 1 ст. 421 НК РФ; за 9 месяцев 2026 года взносы начислены в размере 8 127,90 рубля в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по требованию о занижении базы для исчисления страховых взносов</dc:title>
  <dc:creator/>
  <dc:language>ru</dc:language>
  <cp:keywords/>
  <dcterms:created xsi:type="dcterms:W3CDTF">2026-11-01T20:34:00Z</dcterms:created>
  <dcterms:modified xsi:type="dcterms:W3CDTF">2026-11-01T20:34:00Z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