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Банк плательщика: ПАО «Банк»</w:t>
      </w:r>
    </w:p>
    <w:p>
      <w:pPr>
        <w:pStyle w:val="BodyText"/>
      </w:pPr>
      <w:r>
        <w:t xml:space="preserve">БИК 044525000, сч. 30101810400000000000</w:t>
      </w:r>
    </w:p>
    <w:p>
      <w:pPr>
        <w:pStyle w:val="BodyText"/>
      </w:pPr>
      <w:r>
        <w:t xml:space="preserve">Плательщик: Иванов Иван Иванович</w:t>
      </w:r>
    </w:p>
    <w:p>
      <w:pPr>
        <w:pStyle w:val="BodyText"/>
      </w:pPr>
      <w:r>
        <w:t xml:space="preserve">Сч. плательщика: 40817810000000000001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на-перечисление-налога-за-третье-лицо"/>
    <w:p>
      <w:pPr>
        <w:pStyle w:val="Heading2"/>
      </w:pPr>
      <w:r>
        <w:t xml:space="preserve">на перечисление налога за третье лицо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Получатель ЕНП: УФК по Тульской области (МИ ФНС России по управлению долгом), ИНН 7727406020, КПП 770701001. Остальные реквизиты сформируйте в сервисе ФНС на дату платежа.</w:t>
      </w:r>
    </w:p>
    <w:p>
      <w:pPr>
        <w:pStyle w:val="BodyText"/>
      </w:pPr>
      <w:r>
        <w:t xml:space="preserve">ЕНП за ООО «Ромашка». НДС за IV квартал 2026 года уплачивается равными долями в январе, феврале и марте 2027 года.</w:t>
      </w:r>
    </w:p>
    <w:p>
      <w:pPr>
        <w:pStyle w:val="BodyText"/>
      </w:pPr>
      <w:r>
        <w:t xml:space="preserve">Сумма 122 000,00 руб. Очерёдность платежа 5. Назначение платежа — налог. Статус плательщика 01.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Плательщик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2026-10-31T20:34:05Z</dcterms:created>
  <dcterms:modified xsi:type="dcterms:W3CDTF">2026-10-31T20:34:05Z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