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дел, документов по личному составу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Фонд № 1</w:t>
      </w:r>
    </w:p>
    <w:p>
      <w:pPr>
        <w:pStyle w:val="BodyText"/>
      </w:pPr>
      <w:r>
        <w:t xml:space="preserve">ОПИСЬ № 3</w:t>
      </w:r>
    </w:p>
    <w:bookmarkStart w:id="10" w:name="опись-дел-документов-по-личному-составу"/>
    <w:p>
      <w:pPr>
        <w:pStyle w:val="Heading1"/>
      </w:pPr>
      <w:r>
        <w:t xml:space="preserve">Опись дел, документов по личному составу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20 января 2026 г.</w:t>
      </w:r>
    </w:p>
    <w:p>
      <w:pPr>
        <w:pStyle w:val="BodyText"/>
      </w:pPr>
      <w:r>
        <w:t xml:space="preserve">№ п/п 1 | Индекс дела 1-1 | Заголовок дела: Приказы директора по личному составу (о приёме, переводе, увольнении) | Крайние даты: 09.01.2025–29.12.2025 | Срок хранения: 50 лет | Количество листов: 214 | Примечания: —</w:t>
      </w:r>
    </w:p>
    <w:p>
      <w:pPr>
        <w:pStyle w:val="BodyText"/>
      </w:pPr>
      <w:r>
        <w:t xml:space="preserve">№ п/п 2 | Индекс дела 1-2 | Заголовок дела: Личные карточки работников, уволенных в 2025 году (Т-2) | Крайние даты: 17.02.2025–30.12.2025 | Срок хранения: 50 лет | Количество листов: 96 | Примечания: —</w:t>
      </w:r>
    </w:p>
    <w:p>
      <w:pPr>
        <w:pStyle w:val="BodyText"/>
      </w:pPr>
      <w:r>
        <w:t xml:space="preserve">В данный раздел описи внесено 2 (два) дела с № 1 по № 2, в том числе литерные номера: нет; пропущенные номера: нет.</w:t>
      </w:r>
    </w:p>
    <w:p>
      <w:pPr>
        <w:pStyle w:val="BodyText"/>
      </w:pPr>
      <w:r>
        <w:t xml:space="preserve">Опись составил: специалист по кадрам И. И. Иванова, 20.01.2026. Согласовано: протокол ЭК ООО «Ромашка» от 22.01.2026 № 1. Утверждаю: директор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дел, документов по личному составу</dc:title>
  <dc:creator/>
  <dc:language>ru</dc:language>
  <cp:keywords/>
  <dcterms:created xsi:type="dcterms:W3CDTF">2026-11-02T20:33:41Z</dcterms:created>
  <dcterms:modified xsi:type="dcterms:W3CDTF">2026-11-02T20:33:41Z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