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-новая-редакция"/>
    <w:p>
      <w:pPr>
        <w:pStyle w:val="Heading2"/>
      </w:pPr>
      <w:r>
        <w:t xml:space="preserve">«Ромашка» (новая редакция)</w:t>
      </w:r>
    </w:p>
    <w:p>
      <w:pPr>
        <w:pStyle w:val="FirstParagraph"/>
      </w:pPr>
      <w:r>
        <w:t xml:space="preserve">г. ______________________, 20__ год</w:t>
      </w:r>
    </w:p>
    <w:p>
      <w:pPr>
        <w:pStyle w:val="BodyText"/>
      </w:pPr>
      <w:r>
        <w:t xml:space="preserve">1. Общие положения. Общество с ограниченной ответственностью «______________» создано в ____ году и действует на основании Гражданского кодекса Российской Федерации и Федерального закона от 08.02.1998 № 14-ФЗ «Об обществах с ограниченной ответственностью». Место нахождения общества: ______________________.</w:t>
      </w:r>
    </w:p>
    <w:p>
      <w:pPr>
        <w:pStyle w:val="BodyText"/>
      </w:pPr>
      <w:r>
        <w:t xml:space="preserve">2. Уставный капитал. Уставный капитал общества составляет __________ рублей. Доли участников: ______________________ — ____ % номинальной стоимостью __________ рублей, ______________________ — ____ % номинальной стоимостью __________ рублей.</w:t>
      </w:r>
    </w:p>
    <w:p>
      <w:pPr>
        <w:pStyle w:val="BodyText"/>
      </w:pPr>
      <w:r>
        <w:t xml:space="preserve">3. Управление. Высший орган общества — общее собрание участников. Единоличный исполнительный орган — ______________________, избираемый общим собранием на ____ лет. Вопросы, отнесённые законом к исключительной компетенции общего собрания, единоличному исполнительному органу не передаются.</w:t>
      </w:r>
    </w:p>
    <w:p>
      <w:pPr>
        <w:pStyle w:val="BodyText"/>
      </w:pPr>
      <w:r>
        <w:t xml:space="preserve">4. Переход доли. Участник вправе продать или иным образом уступить свою долю третьему лицу ______________________ (с согласия остальных участников / без согласия). Преимущественное право покупки участники используют в течение ____ дней с даты уведомления.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Председательствующий на собрании</w:t>
            </w:r>
          </w:p>
          <w:p>
            <w:pPr>
              <w:pStyle w:val="BodyText"/>
            </w:pPr>
            <w:r>
              <w:t xml:space="preserve">должность (статус)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должность (статус)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2026-11-04T20:33:41Z</dcterms:created>
  <dcterms:modified xsi:type="dcterms:W3CDTF">2026-11-04T20:33:41Z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