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Техническое задание на проектирование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техническое-задание-на-проектирование"/>
    <w:p>
      <w:pPr>
        <w:pStyle w:val="Heading1"/>
      </w:pPr>
      <w:r>
        <w:t xml:space="preserve">Техническое задание на проектирование</w:t>
      </w:r>
    </w:p>
    <w:bookmarkStart w:id="9" w:name="X115b8b9b2820bd71873c3c77efaee4001062f93"/>
    <w:p>
      <w:pPr>
        <w:pStyle w:val="Heading2"/>
      </w:pPr>
      <w:r>
        <w:t xml:space="preserve">производственного здания с административно-бытовым корпусом</w:t>
      </w:r>
    </w:p>
    <w:p>
      <w:pPr>
        <w:pStyle w:val="FirstParagraph"/>
      </w:pPr>
      <w:r>
        <w:t xml:space="preserve">16 ноября 2026 г. № 14-ТЗ</w:t>
      </w:r>
    </w:p>
    <w:p>
      <w:pPr>
        <w:pStyle w:val="BodyText"/>
      </w:pPr>
      <w:r>
        <w:t xml:space="preserve">1. Основание для проектирования: договор подряда на проектные работы от 10.11.2026 № 27 и решение инвестиционного комитета от 06.11.2026 № 4.</w:t>
      </w:r>
    </w:p>
    <w:p>
      <w:pPr>
        <w:pStyle w:val="BodyText"/>
      </w:pPr>
      <w:r>
        <w:t xml:space="preserve">2. Объект: производственное здание площадью до 4 800 кв. м на земельном участке с кадастровым номером 50:12:0040301:118, город Подольск. Назначение — сборка металлоконструкций, режим работы в две смены.</w:t>
      </w:r>
    </w:p>
    <w:p>
      <w:pPr>
        <w:pStyle w:val="BodyText"/>
      </w:pPr>
      <w:r>
        <w:t xml:space="preserve">3. Стадийность: проектная документация и рабочая документация. Состав разделов — по Положению о составе разделов проектной документации, утверждённому постановлением Правительства РФ от 16.02.2008 № 87.</w:t>
      </w:r>
    </w:p>
    <w:p>
      <w:pPr>
        <w:pStyle w:val="BodyText"/>
      </w:pPr>
      <w:r>
        <w:t xml:space="preserve">4. Технические требования: каркас — металлический, ограждающие конструкции — сэндвич-панели, расчётная нагрузка на пол — не менее 5 т/кв. м под участком сборки, электроснабжение — вторая категория надёжности, отопление — от собственной котельной.</w:t>
      </w:r>
    </w:p>
    <w:p>
      <w:pPr>
        <w:pStyle w:val="BodyText"/>
      </w:pPr>
      <w:r>
        <w:t xml:space="preserve">5. Исходные данные прилагаются: градостроительный план земельного участка, отчёт об инженерно-геодезических изысканиях (приложение 1), отчёт об инженерно-геологических изысканиях (приложение 2), технические условия на подключение к сетям (приложение 3).</w:t>
      </w:r>
    </w:p>
    <w:p>
      <w:pPr>
        <w:pStyle w:val="BodyText"/>
      </w:pPr>
      <w:r>
        <w:t xml:space="preserve">6. Срок выполнения работ: 120 календарных дней с даты передачи исходных данных. Результат передаётся в бумажном виде в четырёх экземплярах и в электронном виде в форматах, согласованных сторонами.</w:t>
      </w:r>
    </w:p>
    <w:p>
      <w:pPr>
        <w:pStyle w:val="BodyText"/>
      </w:pPr>
      <w:r>
        <w:t xml:space="preserve">7. Порядок приёмки: заказчик рассматривает документацию в течение 15 рабочих дней и направляет мотивированные замечания либо подписывает акт. Замечания устраняются проектировщиком за свой счёт.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проектирование</dc:title>
  <dc:creator/>
  <dc:language>ru</dc:language>
  <cp:keywords/>
  <dcterms:created xsi:type="dcterms:W3CDTF">2026-11-04T20:33:40Z</dcterms:created>
  <dcterms:modified xsi:type="dcterms:W3CDTF">2026-11-04T20:33:40Z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