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именуемое в дальнейшем «Покупатель», с одной стороны, и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именуемое в дальнейшем «Поставщик», с другой стороны,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e011a4879527a0133378b506f940af9bcd4e4c0"/>
    <w:p>
      <w:pPr>
        <w:pStyle w:val="Heading2"/>
      </w:pPr>
      <w:r>
        <w:t xml:space="preserve">к договору поставки № 5 от 21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составили настоящий протокол разногласий о нижеследующем: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Пункт ____.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Пункт ____.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Настоящий протокол является неотъемлемой частью договора, составлен в ___ экземплярах, по одному для каждой стороны, и приобретает силу с момента подписания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2026-11-01T20:33:46Z</dcterms:created>
  <dcterms:modified xsi:type="dcterms:W3CDTF">2026-11-01T20:33:46Z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