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Москва, ул. Примерная, д. 1</w:t>
      </w:r>
    </w:p>
    <w:p>
      <w:pPr>
        <w:pStyle w:val="BodyText"/>
      </w:pPr>
      <w:r>
        <w:t xml:space="preserve">Кому: ООО «Василёк», генеральному директору А. А. Смирнову</w:t>
      </w:r>
    </w:p>
    <w:p>
      <w:pPr>
        <w:pStyle w:val="BodyText"/>
      </w:pPr>
      <w:r>
        <w:t xml:space="preserve">Контакт: П. П. Петров, +7 900 000-00-00, petrov@example.ru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58c23e3733b05ca72917816cecc4022e5919848"/>
    <w:p>
      <w:pPr>
        <w:pStyle w:val="Heading2"/>
      </w:pPr>
      <w:r>
        <w:t xml:space="preserve">на оказание услуг по настройке и ведению рекламных кампаний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предлагает ООО «Василёк» настроить и вести рекламные кампании в поиске и социальных сетях. Цель на первые три месяца — заявки на монтаж кухонь по цене не выше согласованной стоимости обращения.</w:t>
      </w:r>
    </w:p>
    <w:p>
      <w:pPr>
        <w:pStyle w:val="BodyText"/>
      </w:pPr>
      <w:r>
        <w:t xml:space="preserve">В работу входит: аудит текущих кампаний, сбор семантики, настройка объявлений и аудиторий, ведение и отчёт. Не входит: производство фото и видео, сайт и его доработка.</w:t>
      </w:r>
    </w:p>
    <w:p>
      <w:pPr>
        <w:pStyle w:val="BodyText"/>
      </w:pPr>
      <w:r>
        <w:t xml:space="preserve">Стоимость ведения — 60 000 рублей в месяц, настройка в первый месяц — 40 000 рублей разово. Рекламный бюджет клиент оплачивает напрямую площадкам. Срок — 3 месяца с даты предоплаты.</w:t>
      </w:r>
    </w:p>
    <w:p>
      <w:pPr>
        <w:pStyle w:val="BodyText"/>
      </w:pPr>
      <w:r>
        <w:t xml:space="preserve">Предложение действует до 15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2026-11-05T20:31:52Z</dcterms:created>
  <dcterms:modified xsi:type="dcterms:W3CDTF">2026-11-05T20:31:52Z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