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отдела снабжения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б-обосновании-приобретения-автомобиля"/>
    <w:p>
      <w:pPr>
        <w:pStyle w:val="Heading2"/>
      </w:pPr>
      <w:r>
        <w:t xml:space="preserve">об обосновании приобретения автомобиля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Отдел снабжения ежемесячно выполняет 18–22 выезда к поставщикам и на склады в Московской области. Сейчас поездки оплачиваются по километровому тарифу личных машин сотрудников и такси: за октябрь 2026 года на это ушло 84 000 рублей.</w:t>
      </w:r>
    </w:p>
    <w:p>
      <w:pPr>
        <w:pStyle w:val="BodyText"/>
      </w:pPr>
      <w:r>
        <w:t xml:space="preserve">Прошу приобрести легковой автомобиль для служебных поездок отдела. Расходы на такси и компенсацию за личный транспорт за девять месяцев 2026 года составили 690 000 рублей, при этом часть выездов приходилось отменять из-за недоступности машин.</w:t>
      </w:r>
    </w:p>
    <w:p>
      <w:pPr>
        <w:pStyle w:val="BodyText"/>
      </w:pPr>
      <w:r>
        <w:t xml:space="preserve">Стоимость автомобиля — до 1 900 000 рублей. Коммерческие предложения трёх дилеров, расчёт расходов на такси и компенсации, а также перечень регулярных маршрутов отдела прилагаю.</w:t>
      </w:r>
    </w:p>
    <w:p>
      <w:pPr>
        <w:pStyle w:val="BodyText"/>
      </w:pPr>
      <w:r>
        <w:t xml:space="preserve">Приложение: 1) коммерческие предложения на 6 л. в 1 экз.; 2) расчёт расходов на поездки на 2 л. в 1 экз.; 3) перечень маршрутов отдела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отдела снабжения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2026-11-06T21:52:44Z</dcterms:created>
  <dcterms:modified xsi:type="dcterms:W3CDTF">2026-11-06T21:52:44Z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