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"/>
    <w:p>
      <w:pPr>
        <w:pStyle w:val="Heading1"/>
      </w:pPr>
      <w:r>
        <w:t xml:space="preserve">Акт</w:t>
      </w:r>
    </w:p>
    <w:bookmarkStart w:id="9" w:name="X1a4cfca91803677936aa5046ea188cff740049f"/>
    <w:p>
      <w:pPr>
        <w:pStyle w:val="Heading2"/>
      </w:pPr>
      <w:r>
        <w:t xml:space="preserve">об отказе работника дать письменное объяснение</w:t>
      </w:r>
    </w:p>
    <w:p>
      <w:pPr>
        <w:pStyle w:val="FirstParagraph"/>
      </w:pPr>
      <w:r>
        <w:t xml:space="preserve">«16» ноября 2026 г. № 14-А</w:t>
      </w:r>
    </w:p>
    <w:p>
      <w:pPr>
        <w:pStyle w:val="BodyText"/>
      </w:pPr>
      <w:r>
        <w:t xml:space="preserve">Мы, нижеподписавшиеся: начальник отдела кадров С. А. Кузнецова, юрист А. В. Белов и главный бухгалтер М. И. Орлова, — составили настоящий акт о том, что по истечении двух рабочих дней после получения требования менеджер по продажам И. И. Иванов не представил письменное объяснение о причинах отсутствия на рабочем месте.</w:t>
      </w:r>
    </w:p>
    <w:p>
      <w:pPr>
        <w:pStyle w:val="BodyText"/>
      </w:pPr>
      <w:r>
        <w:t xml:space="preserve">Уведомление о необходимости дать письменное объяснение вручено Иванову И. И. под подпись 14 ноября 2026 года. На объяснение отведено два рабочих дня.</w:t>
      </w:r>
    </w:p>
    <w:p>
      <w:pPr>
        <w:pStyle w:val="BodyText"/>
      </w:pPr>
      <w:r>
        <w:t xml:space="preserve">Акт составлен в двух экземплярах: первый хранится в отделе кадров, второй вручён Иванову И. И.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Лица, составившие акт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2026-11-02T20:33:21Z</dcterms:created>
  <dcterms:modified xsi:type="dcterms:W3CDTF">2026-11-02T20:33:21Z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