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оплате труда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положение-об-оплате-труда"/>
    <w:p>
      <w:pPr>
        <w:pStyle w:val="Heading1"/>
      </w:pPr>
      <w:r>
        <w:t xml:space="preserve">Положение об оплате труда</w:t>
      </w:r>
    </w:p>
    <w:bookmarkStart w:id="9" w:name="локальный-нормативный-акт"/>
    <w:p>
      <w:pPr>
        <w:pStyle w:val="Heading2"/>
      </w:pPr>
      <w:r>
        <w:t xml:space="preserve">(локальный нормативный акт)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 выплаты заработной платы. 2.1.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Премирование. 3.1.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Заключительные положения. 4.1.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оплате труда</dc:title>
  <dc:creator/>
  <dc:language>ru</dc:language>
  <cp:keywords/>
  <dcterms:created xsi:type="dcterms:W3CDTF">2026-11-07T20:40:29Z</dcterms:created>
  <dcterms:modified xsi:type="dcterms:W3CDTF">2026-11-07T20:40:29Z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