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7701234567, ОГРН 1234567890123</w:t>
      </w:r>
    </w:p>
    <w:p>
      <w:pPr>
        <w:pStyle w:val="BodyText"/>
      </w:pPr>
      <w:r>
        <w:t xml:space="preserve">в лице генерального директора Петрова П. П.,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«Василёк»,</w:t>
      </w:r>
    </w:p>
    <w:p>
      <w:pPr>
        <w:pStyle w:val="BodyText"/>
      </w:pPr>
      <w:r>
        <w:t xml:space="preserve">ИНН 7709876543, ОГРН 9876543210987</w:t>
      </w:r>
    </w:p>
    <w:p>
      <w:pPr>
        <w:pStyle w:val="BodyText"/>
      </w:pPr>
      <w:r>
        <w:t xml:space="preserve">в лице директора Иванова И. И., действующего на основании Устава,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a8cebbb6aaf2729ae16398447193eb45ac4ffef"/>
    <w:p>
      <w:pPr>
        <w:pStyle w:val="Heading2"/>
      </w:pPr>
      <w:r>
        <w:t xml:space="preserve">о предоставлении права использования программы для ЭВМ</w:t>
      </w:r>
    </w:p>
    <w:p>
      <w:pPr>
        <w:pStyle w:val="FirstParagraph"/>
      </w:pPr>
      <w:r>
        <w:t xml:space="preserve">1 ноября 2026 г. № 12/Л</w:t>
      </w:r>
    </w:p>
    <w:p>
      <w:pPr>
        <w:pStyle w:val="BodyText"/>
      </w:pPr>
      <w:r>
        <w:t xml:space="preserve">1. Предмет договора. Лицензиар предоставляет Лицензиату право использования программы для ЭВМ «Бухгалтерия для малого бизнеса» (далее — Программа) в пределах, установленных договором. Программа зарегистрирована в Роспатенте, свидетельство № 2026612345 от 15 марта 2026 г.</w:t>
      </w:r>
    </w:p>
    <w:p>
      <w:pPr>
        <w:pStyle w:val="BodyText"/>
      </w:pPr>
      <w:r>
        <w:t xml:space="preserve">2. Способы использования. Лицензиату разрешается воспроизводить Программу путём установки и запуска на одном компьютере, а также использовать её функциональные возможности для ведения бухгалтерского учёта. Иные действия, в том числе распространение, модификация и предоставление доступа третьим лицам, не разрешаются.</w:t>
      </w:r>
    </w:p>
    <w:p>
      <w:pPr>
        <w:pStyle w:val="BodyText"/>
      </w:pPr>
      <w:r>
        <w:t xml:space="preserve">3. Вид лицензии. Лицензия простая (неисключительная): Лицензиар сохраняет право выдавать лицензии другим лицам.</w:t>
      </w:r>
    </w:p>
    <w:p>
      <w:pPr>
        <w:pStyle w:val="BodyText"/>
      </w:pPr>
      <w:r>
        <w:t xml:space="preserve">4. Вознаграждение. За право использования Программы Лицензиат уплачивает единовременное вознаграждение в размере 45 000 рублей, в том числе НДС, в течение 5 рабочих дней с даты подписания акта передачи прав.</w:t>
      </w:r>
    </w:p>
    <w:p>
      <w:pPr>
        <w:pStyle w:val="BodyText"/>
      </w:pPr>
      <w:r>
        <w:t xml:space="preserve">5. Срок и территория. Право использования предоставляется на 3 года с даты подписания договора. Территория использования — Российская Федерация.</w:t>
      </w:r>
    </w:p>
    <w:p>
      <w:pPr>
        <w:pStyle w:val="BodyText"/>
      </w:pPr>
      <w:r>
        <w:t xml:space="preserve">6. Обновления и поддержка. Лицензиар передаёт обновления Программы в течение срока действия договора. Техническая поддержка оказывается по отдельному соглашению.</w:t>
      </w:r>
    </w:p>
    <w:p>
      <w:pPr>
        <w:pStyle w:val="BodyText"/>
      </w:pPr>
      <w:r>
        <w:t xml:space="preserve">7. Ответственность. За нарушение условий использования Лицензиат уплачивает штраф в размере 10 000 рублей за каждый случай. Убытки возмещаются сверх штрафа.</w:t>
      </w:r>
    </w:p>
    <w:p>
      <w:pPr>
        <w:pStyle w:val="BodyText"/>
      </w:pPr>
      <w:r>
        <w:t xml:space="preserve">8. Заключительные положения. Договор вступает в силу с даты подписания и действует до исполнения сторонами обязательств. Споры разрешаются в Арбитражном суде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2026-10-31T20:33:36Z</dcterms:created>
  <dcterms:modified xsi:type="dcterms:W3CDTF">2026-10-31T20:33:36Z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