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Объект налогообложения: доходы</w:t>
      </w:r>
    </w:p>
    <w:p>
      <w:pPr>
        <w:pStyle w:val="BodyText"/>
      </w:pPr>
      <w:r>
        <w:t xml:space="preserve">Расчётный счёт № 40702810100000012345 в ПАО «Банк»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Начата 01 января 2026 г.</w:t>
      </w:r>
    </w:p>
    <w:p>
      <w:pPr>
        <w:pStyle w:val="BodyText"/>
      </w:pPr>
      <w:r>
        <w:t xml:space="preserve">Раздел I. Доходы и расходы</w:t>
      </w:r>
    </w:p>
    <w:p>
      <w:pPr>
        <w:pStyle w:val="BodyText"/>
      </w:pPr>
      <w:r>
        <w:t xml:space="preserve">1 | 15.01.2026 | Платёжное поручение № 12 | Оплата за товар от ООО «Ромашка» | — | — | 120 000</w:t>
      </w:r>
    </w:p>
    <w:p>
      <w:pPr>
        <w:pStyle w:val="BodyText"/>
      </w:pPr>
      <w:r>
        <w:t xml:space="preserve">2 | 20.02.2026 | Кассовый чек № 45 | Выручка от покупателя за наушники | — | — | 4 200</w:t>
      </w:r>
    </w:p>
    <w:p>
      <w:pPr>
        <w:pStyle w:val="BodyText"/>
      </w:pPr>
      <w:r>
        <w:t xml:space="preserve">3 | 20.03.2026 | Платёжное поручение № 31 | Возврат покупателю за наушники | — | — | −4 200</w:t>
      </w:r>
    </w:p>
    <w:p>
      <w:pPr>
        <w:pStyle w:val="BodyText"/>
      </w:pPr>
      <w:r>
        <w:t xml:space="preserve">Итого за I квартал: 120 000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2026-11-02T20:33:12Z</dcterms:created>
  <dcterms:modified xsi:type="dcterms:W3CDTF">2026-11-02T20:33:12Z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