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ИП Соколов Артём Игоревич</w:t>
      </w:r>
    </w:p>
    <w:p>
      <w:pPr>
        <w:pStyle w:val="BodyText"/>
      </w:pPr>
      <w:r>
        <w:t xml:space="preserve">ИНН 771234567890, ОГРНИП 326770012345678</w:t>
      </w:r>
    </w:p>
    <w:p>
      <w:pPr>
        <w:pStyle w:val="BodyText"/>
      </w:pPr>
      <w:r>
        <w:t xml:space="preserve">Адрес: г. Москва, ул. Лесная, д. 8, оф. 12</w:t>
      </w:r>
    </w:p>
    <w:p>
      <w:pPr>
        <w:pStyle w:val="BodyText"/>
      </w:pPr>
      <w:r>
        <w:t xml:space="preserve">Тел. +7 900 000-00-00, почта a.sokolov@example.ru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на-оказание-услуг-по-настройке-рекламы"/>
    <w:p>
      <w:pPr>
        <w:pStyle w:val="Heading2"/>
      </w:pPr>
      <w:r>
        <w:t xml:space="preserve">на оказание услуг по настройке рекламы</w:t>
      </w:r>
    </w:p>
    <w:p>
      <w:pPr>
        <w:pStyle w:val="FirstParagraph"/>
      </w:pPr>
      <w:r>
        <w:t xml:space="preserve">6 ноября 2026 г. № 7</w:t>
      </w:r>
    </w:p>
    <w:p>
      <w:pPr>
        <w:pStyle w:val="BodyText"/>
      </w:pPr>
      <w:r>
        <w:t xml:space="preserve">Кому: ООО «Вектор», генеральному директору М. А. Крылову. Предложение действует до 20 ноября 2026 года.</w:t>
      </w:r>
    </w:p>
    <w:p>
      <w:pPr>
        <w:pStyle w:val="BodyText"/>
      </w:pPr>
      <w:r>
        <w:t xml:space="preserve">Предмет: настройка рекламных кампаний в поиске и социальных сетях для интернет-магазина заказчика. Работы веду лично, без субподряда.</w:t>
      </w:r>
    </w:p>
    <w:p>
      <w:pPr>
        <w:pStyle w:val="BodyText"/>
      </w:pPr>
      <w:r>
        <w:t xml:space="preserve">Что входит: аудит текущих кампаний, сбор семантики, настройка целей и аналитики, запуск кампаний, отчёт по расходу и заявкам раз в неделю.</w:t>
      </w:r>
    </w:p>
    <w:p>
      <w:pPr>
        <w:pStyle w:val="BodyText"/>
      </w:pPr>
      <w:r>
        <w:t xml:space="preserve">Стоимость: 120 000 рублей за первый месяц работы, включая настройку и ведение. Рекламный бюджет оплачивается заказчиком отдельно, напрямую рекламной системе.</w:t>
      </w:r>
    </w:p>
    <w:p>
      <w:pPr>
        <w:pStyle w:val="BodyText"/>
      </w:pPr>
      <w:r>
        <w:t xml:space="preserve">Срок: настройка и запуск — 10 рабочих дней с даты оплаты и передачи доступов. Ведение — месяц с даты запуска, дальше по согласованию.</w:t>
      </w:r>
    </w:p>
    <w:p>
      <w:pPr>
        <w:pStyle w:val="BodyText"/>
      </w:pPr>
      <w:r>
        <w:t xml:space="preserve">Порядок оплаты: 50 % предоплата, остаток — по итогам первого месяца. Оплата на расчётный счёт ИП, документы — счёт и акт.</w:t>
      </w:r>
    </w:p>
    <w:p>
      <w:pPr>
        <w:pStyle w:val="BodyText"/>
      </w:pPr>
      <w:r>
        <w:t xml:space="preserve">Предложение не является публичной офертой. Условия закрепляются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А. И.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2026-11-07T20:40:11Z</dcterms:created>
  <dcterms:modified xsi:type="dcterms:W3CDTF">2026-11-07T20:40:11Z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