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ООО «Лимма»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ОКПО 12345678</w:t>
      </w:r>
    </w:p>
    <w:p>
      <w:pPr>
        <w:pStyle w:val="BodyText"/>
      </w:pPr>
      <w:r>
        <w:t xml:space="preserve">Объект налогообложения: доходы минус расходы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3c5802ac4768db684dbea24d091d0a7a4dc2a10"/>
    <w:p>
      <w:pPr>
        <w:pStyle w:val="Heading2"/>
      </w:pPr>
      <w:r>
        <w:t xml:space="preserve">организации, применяющей упрощённую систему налогообложения с объектом «доходы минус расходы»</w:t>
      </w:r>
    </w:p>
    <w:p>
      <w:pPr>
        <w:pStyle w:val="FirstParagraph"/>
      </w:pPr>
      <w:r>
        <w:t xml:space="preserve">2026 год, дата начала ведения 01.01.2026</w:t>
      </w:r>
    </w:p>
    <w:p>
      <w:pPr>
        <w:pStyle w:val="BodyText"/>
      </w:pPr>
      <w:r>
        <w:t xml:space="preserve">В разделе I «Доходы и расходы» записи ведутся в хронологическом порядке по первичным документам: в графе 1 — номер операции, в графе 2 — дата и номер документа, в графе 3 — содержание операции, в графах 4 и 5 — доходы и расходы, влияющие на налог.</w:t>
      </w:r>
    </w:p>
    <w:p>
      <w:pPr>
        <w:pStyle w:val="BodyText"/>
      </w:pPr>
      <w:r>
        <w:t xml:space="preserve">Сумма НДС, предъявленная покупателю, в доходы не включается и отражается отдельной строкой. Расходы учитываются только после оплаты и только те, что названы в статье 346.16 НК РФ.</w:t>
      </w:r>
    </w:p>
    <w:p>
      <w:pPr>
        <w:pStyle w:val="BodyText"/>
      </w:pPr>
      <w:r>
        <w:t xml:space="preserve">Раздел II заполняется при приобретении основных средств и нематериальных активов, раздел III — при переносе убытка прошлых лет на текущий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«Лимма»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2026-10-30T21:48:51Z</dcterms:created>
  <dcterms:modified xsi:type="dcterms:W3CDTF">2026-10-30T21:48:51Z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