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Карточка учёта индивидуальных доз облучения персонала</w:t>
      </w:r>
    </w:p>
    <w:p>
      <w:pPr>
        <w:pStyle w:val="FirstParagraph"/>
      </w:pPr>
      <w:r>
        <w:t xml:space="preserve">ООО «Ромашка», лаборатория радиационного контроля</w:t>
      </w:r>
    </w:p>
    <w:p>
      <w:pPr>
        <w:pStyle w:val="BodyText"/>
      </w:pPr>
      <w:r>
        <w:t xml:space="preserve">Иванов Иван Иванович, 1985 г. р.</w:t>
      </w:r>
    </w:p>
    <w:p>
      <w:pPr>
        <w:pStyle w:val="BodyText"/>
      </w:pPr>
      <w:r>
        <w:t xml:space="preserve">дозиметрист, группа А</w:t>
      </w:r>
    </w:p>
    <w:p>
      <w:pPr>
        <w:pStyle w:val="BodyText"/>
      </w:pPr>
      <w:r>
        <w:t xml:space="preserve">табельный № 114</w:t>
      </w:r>
    </w:p>
    <w:bookmarkStart w:id="10" w:name="X14b2e0e98156552f4097b18acf2b5f8819eabeb"/>
    <w:p>
      <w:pPr>
        <w:pStyle w:val="Heading1"/>
      </w:pPr>
      <w:r>
        <w:t xml:space="preserve">Карточка учёта индивидуальных доз облучения персонала</w:t>
      </w:r>
    </w:p>
    <w:bookmarkStart w:id="9" w:name="за-2026-год"/>
    <w:p>
      <w:pPr>
        <w:pStyle w:val="Heading2"/>
      </w:pPr>
      <w:r>
        <w:t xml:space="preserve">за 2026 год</w:t>
      </w:r>
    </w:p>
    <w:p>
      <w:pPr>
        <w:pStyle w:val="FirstParagraph"/>
      </w:pPr>
      <w:r>
        <w:t xml:space="preserve">Начат 11 января 2026 г.</w:t>
      </w:r>
    </w:p>
    <w:p>
      <w:pPr>
        <w:pStyle w:val="BodyText"/>
      </w:pPr>
      <w:r>
        <w:t xml:space="preserve">Работник занят на работах с источниками ионизирующего излучения, отнесён к персоналу группы А. Индивидуальный дозиметрический контроль ведётся ежеквартально, результаты вносятся в карточку по месяцам.</w:t>
      </w:r>
    </w:p>
    <w:p>
      <w:pPr>
        <w:pStyle w:val="BodyText"/>
      </w:pPr>
      <w:r>
        <w:t xml:space="preserve">За I квартал индивидуальный эквивалент дозы внешнего облучения составил 1,2 мЗв, за II квартал — 0,9 мЗв. Годовая доза накапливается по графам.</w:t>
      </w:r>
    </w:p>
    <w:p>
      <w:pPr>
        <w:pStyle w:val="BodyText"/>
      </w:pPr>
      <w:r>
        <w:t xml:space="preserve">Контрольные уровни доз на год установлены в организации с учётом требований радиационной безопасности; превышение фиксируется отдельной записью с причинами и мерами.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Лицо, ведущее карточку</w:t>
            </w:r>
          </w:p>
          <w:p>
            <w:pPr>
              <w:pStyle w:val="BodyText"/>
            </w:pPr>
            <w:r>
              <w:t xml:space="preserve">Дозиметрист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Дозиметрист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Карточка учёта индивидуальных доз облучения персонала</dc:title>
  <dc:creator/>
  <dc:language>ru</dc:language>
  <cp:keywords/>
  <dcterms:created xsi:type="dcterms:W3CDTF">2026-11-07T20:39:47Z</dcterms:created>
  <dcterms:modified xsi:type="dcterms:W3CDTF">2026-11-07T20:39:47Z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