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ООО «Ромашка», именуемое в дальнейшем «Продавец»,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и ООО «Лютик», именуемое в дальнейшем «Покупатель»,</w:t>
      </w:r>
    </w:p>
    <w:p>
      <w:pPr>
        <w:pStyle w:val="BodyText"/>
      </w:pPr>
      <w:r>
        <w:t xml:space="preserve">в лице директора И. И. Иванова,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с-расчётами-через-аккредитив"/>
    <w:p>
      <w:pPr>
        <w:pStyle w:val="Heading2"/>
      </w:pPr>
      <w:r>
        <w:t xml:space="preserve">с расчётами через аккредитив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Продавец передаёт Покупателю партию торгового оборудования по спецификации (приложение № 1), Покупатель принимает и оплачивает её на условиях, указанных в разделе 2.</w:t>
      </w:r>
    </w:p>
    <w:p>
      <w:pPr>
        <w:pStyle w:val="BodyText"/>
      </w:pPr>
      <w:r>
        <w:t xml:space="preserve">2. Цена и расчёты. 2.1. Цена договора — 2 400 000 ₽, НДС включён. 2.2. Оплата — безотзывным документарным аккредитивом, открытым Покупателем в банке «Пример» в течение 5 рабочих дней с даты подписания договора. 2.3. Аккредитив раскрывается против предъявления: товарной накладной, подписанной сторонами, акта приёмки оборудования и копии транспортной накладной. 2.4. Срок действия аккредитива — 30 календарных дней с даты открытия.</w:t>
      </w:r>
    </w:p>
    <w:p>
      <w:pPr>
        <w:pStyle w:val="BodyText"/>
      </w:pPr>
      <w:r>
        <w:t xml:space="preserve">3. Ответственность. Если Покупатель не откроет аккредитив в срок, Продавец вправе приостановить отгрузку, уведомив Покупателя письменно.</w:t>
      </w:r>
    </w:p>
    <w:p>
      <w:pPr>
        <w:pStyle w:val="BodyText"/>
      </w:pPr>
      <w:r>
        <w:t xml:space="preserve">Приложение: спецификация оборудования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2026-11-02T20:33:00Z</dcterms:created>
  <dcterms:modified xsi:type="dcterms:W3CDTF">2026-11-02T20:33:00Z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