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работы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продаж</w:t>
      </w:r>
    </w:p>
    <w:p>
      <w:pPr>
        <w:pStyle w:val="BodyText"/>
      </w:pPr>
      <w:r>
        <w:t xml:space="preserve">УТВЕРЖДАЮ: генеральный директор П. П. Петров</w:t>
      </w:r>
    </w:p>
    <w:p>
      <w:pPr>
        <w:pStyle w:val="BodyText"/>
      </w:pPr>
      <w:r>
        <w:t xml:space="preserve">«30» октября 2026 г.</w:t>
      </w:r>
    </w:p>
    <w:bookmarkStart w:id="10" w:name="график-работы"/>
    <w:p>
      <w:pPr>
        <w:pStyle w:val="Heading1"/>
      </w:pPr>
      <w:r>
        <w:t xml:space="preserve">График работы</w:t>
      </w:r>
    </w:p>
    <w:bookmarkStart w:id="9" w:name="на-ноябрь-2026-года"/>
    <w:p>
      <w:pPr>
        <w:pStyle w:val="Heading2"/>
      </w:pPr>
      <w:r>
        <w:t xml:space="preserve">на ноябрь 2026 года</w:t>
      </w:r>
    </w:p>
    <w:p>
      <w:pPr>
        <w:pStyle w:val="FirstParagraph"/>
      </w:pPr>
      <w:r>
        <w:t xml:space="preserve">30 октября 2026 г. № 41</w:t>
      </w:r>
    </w:p>
    <w:p>
      <w:pPr>
        <w:pStyle w:val="BodyText"/>
      </w:pPr>
      <w:r>
        <w:t xml:space="preserve">Установить на ноябрь 2026 года сменный режим работы с суммированным учётом рабочего времени. Учётный период — квартал.</w:t>
      </w:r>
    </w:p>
    <w:p>
      <w:pPr>
        <w:pStyle w:val="BodyText"/>
      </w:pPr>
      <w:r>
        <w:t xml:space="preserve">Норма рабочего времени за ноябрь 2026 года при 40-часовой неделе — 159 часов. По графику у каждого работника не больше этой нормы.</w:t>
      </w:r>
    </w:p>
    <w:p>
      <w:pPr>
        <w:pStyle w:val="BodyText"/>
      </w:pPr>
      <w:r>
        <w:t xml:space="preserve">Смены: первая — с 08:00 до 20:00, вторая — с 20:00 до 08:00. Перерыв для отдыха и питания — 1 час, в рабочее время не включается.</w:t>
      </w:r>
    </w:p>
    <w:p>
      <w:pPr>
        <w:pStyle w:val="BodyText"/>
      </w:pPr>
      <w:r>
        <w:t xml:space="preserve">Еженедельный непрерывный отдых — не меньше 42 часов, кроме случаев, предусмотренных ТК. Работу в выходные и нерабочие праздничные дни организовывать по статье 113 ТК и оплачивать по статье 153 ТК.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 графика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Председатель профсоюза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работы</dc:title>
  <dc:creator/>
  <dc:language>ru</dc:language>
  <cp:keywords/>
  <dcterms:created xsi:type="dcterms:W3CDTF">2026-11-04T20:33:14Z</dcterms:created>
  <dcterms:modified xsi:type="dcterms:W3CDTF">2026-11-04T20:33:14Z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