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Установить на ______________ 20__ года режим работы: ____________________________________________________________. Учётный период — ______________________.</w:t>
      </w:r>
    </w:p>
    <w:p>
      <w:pPr>
        <w:pStyle w:val="BodyText"/>
      </w:pPr>
      <w:r>
        <w:t xml:space="preserve">Норма рабочего времени за месяц при 40-часовой неделе — ______ часов. По графику у каждого работника — ______ часов.</w:t>
      </w:r>
    </w:p>
    <w:p>
      <w:pPr>
        <w:pStyle w:val="BodyText"/>
      </w:pPr>
      <w:r>
        <w:t xml:space="preserve">Смены: первая — с ______ до ______, вторая — с ______ до ______. Перерыв для отдыха и питания — ______, в рабочее время не включается.</w:t>
      </w:r>
    </w:p>
    <w:p>
      <w:pPr>
        <w:pStyle w:val="BodyText"/>
      </w:pPr>
      <w:r>
        <w:t xml:space="preserve">Еженедельный непрерывный отдых — не меньше 42 часов, кроме случаев, предусмотренных ТК. Работу в выходные и нерабочие праздничные дни организовывать по статье 113 ТК и оплачивать по статье 153 ТК.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2026-11-04T20:33:14Z</dcterms:created>
  <dcterms:modified xsi:type="dcterms:W3CDTF">2026-11-04T20:33:14Z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