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_____________________________________,</w:t>
      </w:r>
    </w:p>
    <w:p>
      <w:pPr>
        <w:pStyle w:val="BodyText"/>
      </w:pPr>
      <w:r>
        <w:t xml:space="preserve">действующего на основании __________________,</w:t>
      </w:r>
    </w:p>
    <w:p>
      <w:pPr>
        <w:pStyle w:val="BodyText"/>
      </w:pPr>
      <w:r>
        <w:t xml:space="preserve">именуемое в дальнейшем «Работодатель», с одной стороны, и</w:t>
      </w:r>
    </w:p>
    <w:p>
      <w:pPr>
        <w:pStyle w:val="BodyText"/>
      </w:pPr>
      <w:r>
        <w:t xml:space="preserve">_________________________________________,</w:t>
      </w:r>
    </w:p>
    <w:p>
      <w:pPr>
        <w:pStyle w:val="BodyText"/>
      </w:pPr>
      <w:r>
        <w:t xml:space="preserve">именуемый в дальнейшем «Работник», с другой стороны,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почасовой-оплатой-труда"/>
    <w:p>
      <w:pPr>
        <w:pStyle w:val="Heading2"/>
      </w:pPr>
      <w:r>
        <w:t xml:space="preserve">с почасовой оплатой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Работнику устанавливается почасовая оплата труда из расчёта ______ рублей в час.</w:t>
      </w:r>
    </w:p>
    <w:p>
      <w:pPr>
        <w:pStyle w:val="BodyText"/>
      </w:pPr>
      <w:r>
        <w:t xml:space="preserve">Работнику устанавливается суммированный учёт рабочего времени с учётным периодом — __________________. Норма рабочего времени за учётный период определяется по производственному календарю при __________________ рабочей неделе.</w:t>
      </w:r>
    </w:p>
    <w:p>
      <w:pPr>
        <w:pStyle w:val="BodyText"/>
      </w:pPr>
      <w:r>
        <w:t xml:space="preserve">Заработная плата начисляется за фактически отработанные часы по часовой тарифной ставке, указанной в пункте 4.1 настоящего договора. Часы, отработанные сверх нормы за учётный период, оплачиваются в повышенном размере в соответствии со статьёй 152 Трудового кодекса Российской Федерации.</w:t>
      </w:r>
    </w:p>
    <w:p>
      <w:pPr>
        <w:pStyle w:val="BodyText"/>
      </w:pPr>
      <w:r>
        <w:t xml:space="preserve">Выплата заработной платы производится не реже чем каждые полмесяца: ______ числа текущего месяца — за первую половину месяца, ______ числа следующего месяца — окончательный расчёт за месяц.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расшифровка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2026-11-03T20:34:26Z</dcterms:created>
  <dcterms:modified xsi:type="dcterms:W3CDTF">2026-11-03T20:34:26Z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