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«Мастер», именуемое в дальнейшем «Подрядчик», в лице директора И. И. Иванова, действующего на основании устава,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Xccd452f46daf36ea84daa5d9cd2ea2cc3a3730b"/>
    <w:p>
      <w:pPr>
        <w:pStyle w:val="Heading2"/>
      </w:pPr>
      <w:r>
        <w:t xml:space="preserve">с авансом 50 % и окончательным расчётом после приёмки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Цена работ по договору составляет 800 000 рублей. Без НДС: Подрядчик освобождён от исполнения обязанностей налогоплательщика НДС по статье 145 НК РФ.</w:t>
      </w:r>
    </w:p>
    <w:p>
      <w:pPr>
        <w:pStyle w:val="BodyText"/>
      </w:pPr>
      <w:r>
        <w:t xml:space="preserve">2. Заказчик выплачивает Подрядчику аванс в размере 50 % цены договора, что составляет 400 000 рублей, в течение 5 рабочих дней с даты подписания договора и получения счёта.</w:t>
      </w:r>
    </w:p>
    <w:p>
      <w:pPr>
        <w:pStyle w:val="BodyText"/>
      </w:pPr>
      <w:r>
        <w:t xml:space="preserve">3. Сумма аванса засчитывается в счёт оплаты работ при окончательном расчёте. Окончательный расчёт производится в течение 10 рабочих дней с даты подписания сторонами акта о приёмке выполненных работ без замечаний.</w:t>
      </w:r>
    </w:p>
    <w:p>
      <w:pPr>
        <w:pStyle w:val="BodyText"/>
      </w:pPr>
      <w:r>
        <w:t xml:space="preserve">4. Если работы не выполнены в срок по вине Подрядчика, он возвращает неотработанную часть аванса в течение 5 рабочих дней с даты получения требования Заказчика.</w:t>
      </w:r>
    </w:p>
    <w:p>
      <w:pPr>
        <w:pStyle w:val="BodyText"/>
      </w:pPr>
      <w:r>
        <w:t xml:space="preserve">5. Обязательство Подрядчика по возврату аванса обеспечивается независимой гарантией на сумму аванса, срок действия гарантии — до 31 марта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«Мастер»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2026-11-02T20:32:57Z</dcterms:created>
  <dcterms:modified xsi:type="dcterms:W3CDTF">2026-11-02T20:32:57Z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