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Государственный контракт</w:t>
      </w:r>
    </w:p>
    <w:p>
      <w:pPr>
        <w:pStyle w:val="FirstParagraph"/>
      </w:pPr>
      <w:r>
        <w:t xml:space="preserve">Заказчик: Государственное бюджетное учреждение «Городская поликлиника № 7»</w:t>
      </w:r>
    </w:p>
    <w:p>
      <w:pPr>
        <w:pStyle w:val="BodyText"/>
      </w:pPr>
      <w:r>
        <w:t xml:space="preserve">Поставщик: ООО «Медтехника»</w:t>
      </w:r>
    </w:p>
    <w:p>
      <w:pPr>
        <w:pStyle w:val="BodyText"/>
      </w:pPr>
      <w:r>
        <w:t xml:space="preserve">ИНН 7701234567, КПП 770101001</w:t>
      </w:r>
    </w:p>
    <w:bookmarkStart w:id="10" w:name="государственный-контракт"/>
    <w:p>
      <w:pPr>
        <w:pStyle w:val="Heading1"/>
      </w:pPr>
      <w:r>
        <w:t xml:space="preserve">Государственный контракт</w:t>
      </w:r>
    </w:p>
    <w:bookmarkStart w:id="9" w:name="на-поставку-товара-с-авансовым-платежом"/>
    <w:p>
      <w:pPr>
        <w:pStyle w:val="Heading2"/>
      </w:pPr>
      <w:r>
        <w:t xml:space="preserve">на поставку товара с авансовым платежом</w:t>
      </w:r>
    </w:p>
    <w:p>
      <w:pPr>
        <w:pStyle w:val="FirstParagraph"/>
      </w:pPr>
      <w:r>
        <w:t xml:space="preserve">10 ноября 2026 г. № 2026-114</w:t>
      </w:r>
    </w:p>
    <w:p>
      <w:pPr>
        <w:pStyle w:val="BodyText"/>
      </w:pPr>
      <w:r>
        <w:t xml:space="preserve">1. Предмет контракта. Поставщик обязуется поставить заказчику медицинское оборудование по спецификации (приложение № 1), а заказчик — принять и оплатить его в порядке и на условиях контракта.</w:t>
      </w:r>
    </w:p>
    <w:p>
      <w:pPr>
        <w:pStyle w:val="BodyText"/>
      </w:pPr>
      <w:r>
        <w:t xml:space="preserve">2. Цена контракта и аванс. Цена контракта — 1 200 000 (один миллион двести тысяч) рублей 00 копеек, НДС не облагается. Заказчик перечисляет аванс в размере 30 процентов цены контракта — 360 000 (триста шестьдесят тысяч) рублей 00 копеек — в течение 7 рабочих дней с даты заключения контракта на счёт, указанный поставщиком.</w:t>
      </w:r>
    </w:p>
    <w:p>
      <w:pPr>
        <w:pStyle w:val="BodyText"/>
      </w:pPr>
      <w:r>
        <w:t xml:space="preserve">3. Зачёт аванса. Аванс засчитывается при оплате поставленного товара в размере 30 процентов от суммы каждой приёмки до полного зачёта. Окончательный расчёт — в течение 7 рабочих дней с даты подписания документа о приёмке, за вычетом зачтённого аванса.</w:t>
      </w:r>
    </w:p>
    <w:p>
      <w:pPr>
        <w:pStyle w:val="BodyText"/>
      </w:pPr>
      <w:r>
        <w:t xml:space="preserve">4. Обеспечение возврата аванса. Поставщик обеспечивает возврат аванса независимой гарантией или денежным вкладом на счёт заказчика в размере аванса. Обеспечение предоставляется одновременно с заключением контракта и действует до полного зачёта аванса.</w:t>
      </w:r>
    </w:p>
    <w:p>
      <w:pPr>
        <w:pStyle w:val="BodyText"/>
      </w:pPr>
      <w:r>
        <w:t xml:space="preserve">5. Ответственность за неосвоенный аванс. Если поставщик не поставил товар в срок, он возвращает неотработанный аванс в течение 5 рабочих дней с даты получения требования заказчика. За просрочку возврата начисляется пеня в размере 1/300 ключевой ставки Банка России за каждый день просрочки.</w:t>
      </w:r>
    </w:p>
    <w:p>
      <w:pPr>
        <w:pStyle w:val="BodyText"/>
      </w:pPr>
      <w:r>
        <w:t xml:space="preserve">6. Казначейское сопровождение. Расчёты по контракту осуществляются с казначейским сопровождением. Аванс перечисляется на лицевой счёт поставщика в срок, установленный пунктом 2 контракта; окончательный расчёт производится после приёмки товара в порядке, установленном контрактом.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Главный врач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«Медтехника»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</dc:title>
  <dc:creator/>
  <dc:language>ru</dc:language>
  <cp:keywords/>
  <dcterms:created xsi:type="dcterms:W3CDTF">2026-11-04T20:33:11Z</dcterms:created>
  <dcterms:modified xsi:type="dcterms:W3CDTF">2026-11-04T20:33:11Z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