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Истец: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125009, г. Москва, ул. Тверская, д. 10, тел. +7 (495) 123-45-67, info@romashka.ru</w:t>
      </w:r>
    </w:p>
    <w:p>
      <w:pPr>
        <w:pStyle w:val="BodyText"/>
      </w:pPr>
      <w:r>
        <w:t xml:space="preserve">Ответчик: ООО «Лютик»</w:t>
      </w:r>
    </w:p>
    <w:p>
      <w:pPr>
        <w:pStyle w:val="BodyText"/>
      </w:pPr>
      <w:r>
        <w:t xml:space="preserve">ИНН 7809876543, ОГРН 1167847234567</w:t>
      </w:r>
    </w:p>
    <w:p>
      <w:pPr>
        <w:pStyle w:val="BodyText"/>
      </w:pPr>
      <w:r>
        <w:t xml:space="preserve">190000, г. Санкт-Петербург, набережная реки Мойки, д. 5</w:t>
      </w:r>
    </w:p>
    <w:p>
      <w:pPr>
        <w:pStyle w:val="BodyText"/>
      </w:pPr>
      <w:r>
        <w:t xml:space="preserve">Цена иска: 1 359 360 рублей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6a635ba5bc4c6ddce433902b8ecf93ee31f102a"/>
    <w:p>
      <w:pPr>
        <w:pStyle w:val="Heading2"/>
      </w:pPr>
      <w:r>
        <w:t xml:space="preserve">о взыскании задолженности по договору поставки, процентов за пользование чужими денежными средствами и процентов по денежному обязательству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16 мая 2026 года ООО «Ромашка» (поставщик) и ООО «Лютик» (покупатель) заключили договор поставки № 27/П, по которому поставщик передаёт покупателю офисную мебель, а покупатель принимает и оплачивает её. Наименование, количество и цена товара определены спецификацией — приложением к договору.</w:t>
      </w:r>
    </w:p>
    <w:p>
      <w:pPr>
        <w:pStyle w:val="BodyText"/>
      </w:pPr>
      <w:r>
        <w:t xml:space="preserve">Поставщик поставил товар на сумму 1 180 000 рублей, что подтверждается товарной накладной № 118 от 3 июня 2026 года и подписанным сторонами актом приёма-передачи. Претензий по количеству и качеству товара покупатель не заявлял.</w:t>
      </w:r>
    </w:p>
    <w:p>
      <w:pPr>
        <w:pStyle w:val="BodyText"/>
      </w:pPr>
      <w:r>
        <w:t xml:space="preserve">По пункту 4.2 договора покупатель оплачивает товар в течение 10 рабочих дней с даты приёмки. Срок оплаты истёк 17 июня 2026 года, деньги на счёт поставщика не поступили. Долг — 1 180 000 рублей.</w:t>
      </w:r>
    </w:p>
    <w:p>
      <w:pPr>
        <w:pStyle w:val="BodyText"/>
      </w:pPr>
      <w:r>
        <w:t xml:space="preserve">Пунктом 5.1 договора за просрочку оплаты предусмотрена неустойка 0,1 % от суммы долга за каждый день. За период с 18 июня по 16 ноября 2026 года (152 дня) неустойка составляет 179 360 рублей.</w:t>
      </w:r>
    </w:p>
    <w:p>
      <w:pPr>
        <w:pStyle w:val="BodyText"/>
      </w:pPr>
      <w:r>
        <w:t xml:space="preserve">В соответствии со статьями 309, 310, 330, 506, 516 ГК РФ и статьями 4, 125, 126 АПК РФ прошу взыскать с ООО «Лютик» в пользу ООО «Ромашка» задолженность 1 180 000 рублей, неустойку 179 360 рублей, проценты по статье 395 ГК РФ на сумму долга с 17 ноября 2026 года по день фактической уплаты и расходы по уплате государственной пошлины.</w:t>
      </w:r>
    </w:p>
    <w:p>
      <w:pPr>
        <w:pStyle w:val="BodyText"/>
      </w:pPr>
      <w:r>
        <w:t xml:space="preserve">Приложения: договор поставки № 27/П от 16.05.2026 на 8 л. в 1 экз.; спецификация на 1 л.; товарная накладная № 118 от 03.06.2026 на 2 л.; акт приёма-передачи на 1 л.; претензия № 41 от 20.07.2026 и доказательство её направления на 2 л.; расчёт неустойки на 1 л.; платёжное поручение об уплате госпошлины на 1 л.; выписка из ЕГРЮЛ в отношении истца и ответчика на 6 л.; документ о полномочиях представителя на 2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2026-11-07T20:39:06Z</dcterms:created>
  <dcterms:modified xsi:type="dcterms:W3CDTF">2026-11-07T20:39:06Z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