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HR-стратегия компании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«___» __________ 20__ г.</w:t>
      </w:r>
    </w:p>
    <w:bookmarkStart w:id="10" w:name="hr-стратегия-компании"/>
    <w:p>
      <w:pPr>
        <w:pStyle w:val="Heading1"/>
      </w:pPr>
      <w:r>
        <w:t xml:space="preserve">HR-стратегия компании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Цель. Вывести выручку на 480 млн рублей к концу 2027 года за счёт двух новых направлений — обслуживания оборудования и поставок под ключ. Оба направления продают те же менеджеры, что и сейчас, но им нужен инженерный тыл: пресейл, расчёт смет и техническая поддержка после продажи.</w:t>
      </w:r>
    </w:p>
    <w:p>
      <w:pPr>
        <w:pStyle w:val="BodyText"/>
      </w:pPr>
      <w:r>
        <w:t xml:space="preserve">2. Что меняется в людях. Штат вырастает с 62 до 78 человек. Прибавляются 4 инженера-пресейла, 6 монтажников, 2 закупщика, 3 менеджера по продажам и руководитель сервисной службы. Отдел продаж переходит на схему «менеджер + инженер»: сделку ведёт пара, а не один человек.</w:t>
      </w:r>
    </w:p>
    <w:p>
      <w:pPr>
        <w:pStyle w:val="BodyText"/>
      </w:pPr>
      <w:r>
        <w:t xml:space="preserve">3. Кадровый план. Набор ведём тремя волнами: в первом квартале — сервисная служба и закупки, во втором — монтажники под первый крупный контракт, в третьем — продавцы под новые направления. На каждую волну — свой бюджет и свой ответственный.</w:t>
      </w:r>
    </w:p>
    <w:p>
      <w:pPr>
        <w:pStyle w:val="BodyText"/>
      </w:pPr>
      <w:r>
        <w:t xml:space="preserve">4. Деньги. Фонд оплаты труда на 2027 год — 96 млн рублей с учётом страховых взносов. Отдельной строкой — 2,4 млн на обучение и 1,1 млн на подбор: рекрутинг, кадровый резерв, стажировки.</w:t>
      </w:r>
    </w:p>
    <w:p>
      <w:pPr>
        <w:pStyle w:val="BodyText"/>
      </w:pPr>
      <w:r>
        <w:t xml:space="preserve">5. Показатели. Считаем ежеквартально: укомплектованность штата по критичным должностям, срок закрытия вакансии, текучесть среди новичков первых трёх месяцев, доля сотрудников с планом развития. Целевые значения — в приложении к стратегии.</w:t>
      </w:r>
    </w:p>
    <w:p>
      <w:pPr>
        <w:pStyle w:val="BodyText"/>
      </w:pPr>
      <w:r>
        <w:t xml:space="preserve">6. Ответственные. За стратегию отвечает директор по персоналу, за исполнение по направлениям — руководители отделов. Пересмотр — раз в квартал на управленческой встрече, по итогам года — новая редакция.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 по персоналу</w:t>
            </w:r>
          </w:p>
          <w:p>
            <w:pPr>
              <w:pStyle w:val="BodyText"/>
            </w:pPr>
            <w:r>
              <w:t xml:space="preserve">Директор по персоналу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HR-стратегия компании</dc:title>
  <dc:creator/>
  <dc:language>ru</dc:language>
  <cp:keywords/>
  <dcterms:created xsi:type="dcterms:W3CDTF">2026-11-07T20:38:53Z</dcterms:created>
  <dcterms:modified xsi:type="dcterms:W3CDTF">2026-11-07T20:38:53Z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