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HR-стратегия компании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hr-стратегия-компании"/>
    <w:p>
      <w:pPr>
        <w:pStyle w:val="Heading1"/>
      </w:pPr>
      <w:r>
        <w:t xml:space="preserve">HR-стратегия компании</w:t>
      </w:r>
    </w:p>
    <w:bookmarkStart w:id="9" w:name="на-2027-год"/>
    <w:p>
      <w:pPr>
        <w:pStyle w:val="Heading2"/>
      </w:pPr>
      <w:r>
        <w:t xml:space="preserve">на 2027 год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Цель: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Что меняется в людях: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Кадровый план: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Бюджет на персонал: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Показатели: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Ответственные: 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Директор по персоналу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HR-стратегия компании</dc:title>
  <dc:creator/>
  <dc:language>ru</dc:language>
  <cp:keywords/>
  <dcterms:created xsi:type="dcterms:W3CDTF">2026-11-07T20:38:53Z</dcterms:created>
  <dcterms:modified xsi:type="dcterms:W3CDTF">2026-11-07T20:38:53Z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