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125009, г. Москва, ул. Тверская, д. 1, пом. 5</w:t>
      </w:r>
    </w:p>
    <w:p>
      <w:pPr>
        <w:pStyle w:val="BodyText"/>
      </w:pPr>
      <w:r>
        <w:t xml:space="preserve">телефон +7 (495) 000-00-00, e-mail: info@romashka.ru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X79cceb1338fb95caf8bdb6cc8d0b0936d44184c"/>
    <w:p>
      <w:pPr>
        <w:pStyle w:val="Heading2"/>
      </w:pPr>
      <w:r>
        <w:t xml:space="preserve">о снижении размера штрафа за несвоевременное представление отчетности</w:t>
      </w:r>
    </w:p>
    <w:p>
      <w:pPr>
        <w:pStyle w:val="FirstParagraph"/>
      </w:pPr>
      <w:r>
        <w:t xml:space="preserve">10 ноября 2026 г. № 27</w:t>
      </w:r>
    </w:p>
    <w:p>
      <w:pPr>
        <w:pStyle w:val="BodyText"/>
      </w:pPr>
      <w:r>
        <w:t xml:space="preserve">Решением Отделения СФР от 3 ноября 2026 г. № 1234 ООО «Ромашка» привлечено к ответственности за несвоевременное представление раздела 2 формы ЕФС-1 за 9 месяцев 2026 года: отчет сдан 5 ноября вместо установленного срока. Размер штрафа — 1000 рублей.</w:t>
      </w:r>
    </w:p>
    <w:p>
      <w:pPr>
        <w:pStyle w:val="BodyText"/>
      </w:pPr>
      <w:r>
        <w:t xml:space="preserve">Просрочка составила несколько дней. Взносы на страхование от несчастных случаев на производстве и профессиональных заболеваний за 9 месяцев 2026 года перечислены полностью и в установленный срок, задолженности перед фондом нет. Отчетность за предыдущие периоды сдавалась вовремя, нарушение совершено впервые.</w:t>
      </w:r>
    </w:p>
    <w:p>
      <w:pPr>
        <w:pStyle w:val="BodyText"/>
      </w:pPr>
      <w:r>
        <w:t xml:space="preserve">Прошу снизить размер штрафа, учесть отсутствие задолженности, незначительный срок просрочки и совершение нарушения впервые.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2026-11-06T21:50:23Z</dcterms:created>
  <dcterms:modified xsi:type="dcterms:W3CDTF">2026-11-06T21:50:23Z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