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уборки помещений</w:t>
      </w:r>
    </w:p>
    <w:p>
      <w:pPr>
        <w:pStyle w:val="FirstParagraph"/>
      </w:pPr>
      <w:r>
        <w:t xml:space="preserve">Утверждаю: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график-уборки-помещений"/>
    <w:p>
      <w:pPr>
        <w:pStyle w:val="Heading1"/>
      </w:pPr>
      <w:r>
        <w:t xml:space="preserve">График уборки помещений</w:t>
      </w:r>
    </w:p>
    <w:bookmarkStart w:id="9" w:name="X9f8e9e8dc541c97876cce0ebc3061d198b0801b"/>
    <w:p>
      <w:pPr>
        <w:pStyle w:val="Heading2"/>
      </w:pPr>
      <w:r>
        <w:t xml:space="preserve">приложение к приказу от 31 августа 2026 г. № 148-од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Виды уборки и периодичность: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Генеральная уборка: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Контроль: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графика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уборки помещений</dc:title>
  <dc:creator/>
  <dc:language>ru</dc:language>
  <cp:keywords/>
  <dcterms:created xsi:type="dcterms:W3CDTF">2026-11-07T20:38:36Z</dcterms:created>
  <dcterms:modified xsi:type="dcterms:W3CDTF">2026-11-07T20:38:36Z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