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погашения задолженности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поставщику ООО «Вектор»</w:t>
      </w:r>
    </w:p>
    <w:p>
      <w:pPr>
        <w:pStyle w:val="BodyText"/>
      </w:pPr>
      <w:r>
        <w:t xml:space="preserve">по договору поставки № 17 от 12.01.2026</w:t>
      </w:r>
    </w:p>
    <w:bookmarkStart w:id="10" w:name="график-погашения-задолженности"/>
    <w:p>
      <w:pPr>
        <w:pStyle w:val="Heading1"/>
      </w:pPr>
      <w:r>
        <w:t xml:space="preserve">График погашения задолженности</w:t>
      </w:r>
    </w:p>
    <w:bookmarkStart w:id="9" w:name="Xbabb8e904563deddf19f709b7573783e9a23974"/>
    <w:p>
      <w:pPr>
        <w:pStyle w:val="Heading2"/>
      </w:pPr>
      <w:r>
        <w:t xml:space="preserve">по договору поставки № 17 от 12 января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16 ноября 2026 года задолженность ООО «Ромашка» перед ООО «Вектор» по договору поставки № 17 составляет 480 000 рублей, в том числе за поставку от 3 октября 2026 года.</w:t>
      </w:r>
    </w:p>
    <w:p>
      <w:pPr>
        <w:pStyle w:val="BodyText"/>
      </w:pPr>
      <w:r>
        <w:t xml:space="preserve">ООО «Ромашка» обязуется погасить задолженность равными частями по 120 000 рублей до 15-го числа каждого месяца: 15 декабря 2026 года, 15 января, 15 февраля и 15 марта 2027 года.</w:t>
      </w:r>
    </w:p>
    <w:p>
      <w:pPr>
        <w:pStyle w:val="BodyText"/>
      </w:pPr>
      <w:r>
        <w:t xml:space="preserve">При нарушении графика кредитор вправе потребовать досрочного погашения остатка и неустойку по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</dc:title>
  <dc:creator/>
  <dc:language>ru</dc:language>
  <cp:keywords/>
  <dcterms:created xsi:type="dcterms:W3CDTF">2026-11-01T20:33:07Z</dcterms:created>
  <dcterms:modified xsi:type="dcterms:W3CDTF">2026-11-01T20:33:07Z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