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отпусков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Генеральный директор П. П. Петров</w:t>
      </w:r>
    </w:p>
    <w:p>
      <w:pPr>
        <w:pStyle w:val="BodyText"/>
      </w:pPr>
      <w:r>
        <w:t xml:space="preserve">«___» __________ 20__ г.</w:t>
      </w:r>
    </w:p>
    <w:bookmarkStart w:id="10" w:name="график-отпусков"/>
    <w:p>
      <w:pPr>
        <w:pStyle w:val="Heading1"/>
      </w:pPr>
      <w:r>
        <w:t xml:space="preserve">График отпусков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№ 5 от 15 декабря 2026 г.</w:t>
      </w:r>
    </w:p>
    <w:p>
      <w:pPr>
        <w:pStyle w:val="BodyText"/>
      </w:pPr>
      <w:r>
        <w:t xml:space="preserve">В график включены все работники, состоящие в штате на 1 декабря 2026 года, в том числе внешний совместитель И. И. Иванов и работница, выходящая из отпуска по уходу за ребёнком 1 марта 2027 года, — С. С. Сидорова.</w:t>
      </w:r>
    </w:p>
    <w:p>
      <w:pPr>
        <w:pStyle w:val="BodyText"/>
      </w:pPr>
      <w:r>
        <w:t xml:space="preserve">С. С. Сидоровой отпуск предоставляется в удобное для неё время как работнице с тремя и более детьми до 18 лет, младшему из которых нет 14 лет (ст. 262.2 ТК РФ); даты согласованы и внесены в график.</w:t>
      </w:r>
    </w:p>
    <w:p>
      <w:pPr>
        <w:pStyle w:val="BodyText"/>
      </w:pPr>
      <w:r>
        <w:t xml:space="preserve">Отпуск делится на части только по соглашению сторон; одна из частей в каждом случае не меньше 14 календарных дней (ст. 125 ТК РФ).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</dc:title>
  <dc:creator/>
  <dc:language>ru</dc:language>
  <cp:keywords/>
  <dcterms:created xsi:type="dcterms:W3CDTF">2026-10-28T22:23:52Z</dcterms:created>
  <dcterms:modified xsi:type="dcterms:W3CDTF">2026-10-28T22:23:52Z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