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гражданско-правового характера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Иванов, паспорт серии 45 08 № 123456, выдан ОВД района Хамовники г. Москвы 12.03.2019, зарегистрированный по адресу: г. Москва, ул. Льва Толстого, д. 10, кв. 5, именуемый в дальнейшем «Исполнитель»,</w:t>
      </w:r>
    </w:p>
    <w:bookmarkStart w:id="10" w:name="договор-гражданско-правового-характера"/>
    <w:p>
      <w:pPr>
        <w:pStyle w:val="Heading1"/>
      </w:pPr>
      <w:r>
        <w:t xml:space="preserve">Договор гражданско-правового характера</w:t>
      </w:r>
    </w:p>
    <w:bookmarkStart w:id="9" w:name="Xba571b324b2142f1b4e0438cadfe1b7344a6af2"/>
    <w:p>
      <w:pPr>
        <w:pStyle w:val="Heading2"/>
      </w:pPr>
      <w:r>
        <w:t xml:space="preserve">на выполнение работ (оказание услуг) с физическим лицом</w:t>
      </w:r>
    </w:p>
    <w:p>
      <w:pPr>
        <w:pStyle w:val="FirstParagraph"/>
      </w:pPr>
      <w:r>
        <w:t xml:space="preserve">16 ноября 2026 г. № 7-ГПХ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работы: разработка корпоративного сайта на 12 страниц в соответствии с техническим заданием (приложение № 1), а Заказчик обязуется принять результат и оплатить его.</w:t>
      </w:r>
    </w:p>
    <w:p>
      <w:pPr>
        <w:pStyle w:val="BodyText"/>
      </w:pPr>
      <w:r>
        <w:t xml:space="preserve">2. Сроки. Начало работ — 17 ноября 2026 г., окончание — 25 декабря 2026 г. Работа выполняется по месту Исполнителя, оборудование и материалы Исполнитель приобретает сам.</w:t>
      </w:r>
    </w:p>
    <w:p>
      <w:pPr>
        <w:pStyle w:val="BodyText"/>
      </w:pPr>
      <w:r>
        <w:t xml:space="preserve">3. Цена и оплата. Стоимость работ — 180 000 рублей, НДС не облагается. Оплата — в течение 10 рабочих дней после подписания акта приёмки. Заказчик удерживает НДФЛ и перечисляет налог в бюджет; страховые взносы начисляет и платит Заказчик.</w:t>
      </w:r>
    </w:p>
    <w:p>
      <w:pPr>
        <w:pStyle w:val="BodyText"/>
      </w:pPr>
      <w:r>
        <w:t xml:space="preserve">4. Приёмка. Исполнитель передаёт результат и акт приёмки. Заказчик в течение 5 рабочих дней подписывает акт либо направляет мотивированный отказ с перечнем замечаний. Замечания устраняются за счёт Исполнителя.</w:t>
      </w:r>
    </w:p>
    <w:p>
      <w:pPr>
        <w:pStyle w:val="BodyText"/>
      </w:pPr>
      <w:r>
        <w:t xml:space="preserve">5. Ответственность. За просрочку окончания работ Исполнитель платит пеню 0,1 % от стоимости работ за каждый день просрочки, но не больше 10 % стоимости.</w:t>
      </w:r>
    </w:p>
    <w:p>
      <w:pPr>
        <w:pStyle w:val="BodyText"/>
      </w:pPr>
      <w:r>
        <w:t xml:space="preserve">6. Прочее. Договор вступает в силу с даты подписания и действует до полного исполнения обязательств. Споры стороны решают путём переговоров, при недостижении согласия — в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08 № 123456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гражданско-правового характера</dc:title>
  <dc:creator/>
  <dc:language>ru</dc:language>
  <cp:keywords/>
  <dcterms:created xsi:type="dcterms:W3CDTF">2026-10-28T22:23:49Z</dcterms:created>
  <dcterms:modified xsi:type="dcterms:W3CDTF">2026-10-28T22:23:49Z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