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Шаблон таблицы расчёта прибыли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продаж, октябрь 2026</w:t>
      </w:r>
    </w:p>
    <w:bookmarkStart w:id="10" w:name="шаблон-таблицы-расчёта-прибыли"/>
    <w:p>
      <w:pPr>
        <w:pStyle w:val="Heading1"/>
      </w:pPr>
      <w:r>
        <w:t xml:space="preserve">Шаблон таблицы расчёта прибыли</w:t>
      </w:r>
    </w:p>
    <w:bookmarkStart w:id="9" w:name="за-месяц-по-направлениям"/>
    <w:p>
      <w:pPr>
        <w:pStyle w:val="Heading2"/>
      </w:pPr>
      <w:r>
        <w:t xml:space="preserve">за месяц по направлениям</w:t>
      </w:r>
    </w:p>
    <w:p>
      <w:pPr>
        <w:pStyle w:val="FirstParagraph"/>
      </w:pPr>
      <w:r>
        <w:t xml:space="preserve">Составил 30 октября 2026 г.</w:t>
      </w:r>
    </w:p>
    <w:p>
      <w:pPr>
        <w:pStyle w:val="BodyText"/>
      </w:pPr>
      <w:r>
        <w:t xml:space="preserve">Выручка — 2 480 000 ₽, в том числе НДС 22 % — 447 213,11 ₽. Выручка без НДС — 2 032 786,89 ₽.</w:t>
      </w:r>
    </w:p>
    <w:p>
      <w:pPr>
        <w:pStyle w:val="BodyText"/>
      </w:pPr>
      <w:r>
        <w:t xml:space="preserve">Переменные расходы — закупка товара, доставка, комиссия маркетплейса. Постоянные — аренда, оклады, реклама.</w:t>
      </w:r>
    </w:p>
    <w:p>
      <w:pPr>
        <w:pStyle w:val="BodyText"/>
      </w:pPr>
      <w:r>
        <w:t xml:space="preserve">Прибыль до налога — выручка без НДС минус все расходы. Налог по режиму компании считают отдельно и в эту строку не вносят.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</w:t>
            </w:r>
          </w:p>
          <w:p>
            <w:pPr>
              <w:pStyle w:val="BodyText"/>
            </w:pPr>
            <w:r>
              <w:t xml:space="preserve">Финансовый директор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Шаблон таблицы расчёта прибыли</dc:title>
  <dc:creator/>
  <dc:language>ru</dc:language>
  <cp:keywords/>
  <dcterms:created xsi:type="dcterms:W3CDTF">2026-11-03T20:33:55Z</dcterms:created>
  <dcterms:modified xsi:type="dcterms:W3CDTF">2026-11-03T20:33:55Z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