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энергоснабжения</w:t>
      </w:r>
    </w:p>
    <w:p>
      <w:pPr>
        <w:pStyle w:val="FirstParagraph"/>
      </w:pPr>
      <w:r>
        <w:t xml:space="preserve">Гарантирующий поставщик: ООО «Энергосбыт»</w:t>
      </w:r>
    </w:p>
    <w:p>
      <w:pPr>
        <w:pStyle w:val="BodyText"/>
      </w:pPr>
      <w:r>
        <w:t xml:space="preserve">ИНН 7700000000, адрес: 123456, г. Москва, ул. Примерная, д. 1</w:t>
      </w:r>
    </w:p>
    <w:p>
      <w:pPr>
        <w:pStyle w:val="BodyText"/>
      </w:pPr>
      <w:r>
        <w:t xml:space="preserve">Абонент (потребитель): ООО «Ромашка»</w:t>
      </w:r>
    </w:p>
    <w:p>
      <w:pPr>
        <w:pStyle w:val="BodyText"/>
      </w:pPr>
      <w:r>
        <w:t xml:space="preserve">ИНН 7711111111, адрес: 123456, г. Москва, ул. Заводская, д. 7</w:t>
      </w:r>
    </w:p>
    <w:bookmarkStart w:id="10" w:name="договор-энергоснабжения"/>
    <w:p>
      <w:pPr>
        <w:pStyle w:val="Heading1"/>
      </w:pPr>
      <w:r>
        <w:t xml:space="preserve">Договор энергоснабжения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Поставщик обязуется подавать абоненту через присоединённую сеть электрическую энергию (мощность) в точку поставки, указанную в приложении № 1, а абонент обязуется принимать и оплачивать её, соблюдать режим потребления и обеспечивать исправность своих энергопринимающих устройств и приборов учёта.</w:t>
      </w:r>
    </w:p>
    <w:p>
      <w:pPr>
        <w:pStyle w:val="BodyText"/>
      </w:pPr>
      <w:r>
        <w:t xml:space="preserve">2. Точка поставки, максимальная мощность и категория надёжности электроснабжения указаны в приложении № 1. Объём потребления определяется по показаниям приборов учёта, допущенных в эксплуатацию.</w:t>
      </w:r>
    </w:p>
    <w:p>
      <w:pPr>
        <w:pStyle w:val="BodyText"/>
      </w:pPr>
      <w:r>
        <w:t xml:space="preserve">3. Расчётный период — календарный месяц. Абонент передаёт показания прибора учёта с 23-го по 25-е число расчётного месяца и оплачивает потреблённую энергию до 10-го числа месяца, следующего за расчётным.</w:t>
      </w:r>
    </w:p>
    <w:p>
      <w:pPr>
        <w:pStyle w:val="BodyText"/>
      </w:pPr>
      <w:r>
        <w:t xml:space="preserve">4. Абонент не вправе изменять схему подключения и режим потребления без письменного согласования с поставщиком и сетевой организацией.</w:t>
      </w:r>
    </w:p>
    <w:p>
      <w:pPr>
        <w:pStyle w:val="BodyText"/>
      </w:pPr>
      <w:r>
        <w:t xml:space="preserve">5. За нарушение сроков оплаты абонент уплачивает пени в размере, установленном законом, от неоплаченной суммы за каждый день просрочки.</w:t>
      </w:r>
    </w:p>
    <w:p>
      <w:pPr>
        <w:pStyle w:val="BodyText"/>
      </w:pPr>
      <w:r>
        <w:t xml:space="preserve">6. Договор вступает в силу с даты подписания и действует до «___» __________ 20__ г. с возможностью продления на тот же срок, если ни одна из сторон не заявит об отказе.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«Энергосбыт»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энергоснабжения</dc:title>
  <dc:creator/>
  <dc:language>ru</dc:language>
  <cp:keywords/>
  <dcterms:created xsi:type="dcterms:W3CDTF">2026-11-02T20:32:43Z</dcterms:created>
  <dcterms:modified xsi:type="dcterms:W3CDTF">2026-11-02T20:32:43Z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