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Иванов Иван Иванович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07b6a2d2bbad2f71cc93da3ab49ec66cac35eb5"/>
    <w:p>
      <w:pPr>
        <w:pStyle w:val="Heading2"/>
      </w:pPr>
      <w:r>
        <w:t xml:space="preserve">(извлечение: режим рабочего времени и времени отдыха)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4.1. Работнику устанавливается режим гибкого рабочего времени в соответствии со ст. 102 Трудового кодекса РФ.</w:t>
      </w:r>
    </w:p>
    <w:p>
      <w:pPr>
        <w:pStyle w:val="BodyText"/>
      </w:pPr>
      <w:r>
        <w:t xml:space="preserve">4.2. Работнику устанавливается 40-часовая рабочая неделя с двумя выходными днями — субботой и воскресеньем.</w:t>
      </w:r>
    </w:p>
    <w:p>
      <w:pPr>
        <w:pStyle w:val="BodyText"/>
      </w:pPr>
      <w:r>
        <w:t xml:space="preserve">4.3. Гибкое время: начало работы — с 8:00 до 11:00, окончание работы — с 17:00 до 20:00. Фиксированное время присутствия на рабочем месте — с 11:00 до 17:00.</w:t>
      </w:r>
    </w:p>
    <w:p>
      <w:pPr>
        <w:pStyle w:val="BodyText"/>
      </w:pPr>
      <w:r>
        <w:t xml:space="preserve">4.4. Учёт рабочего времени ведётся по итогам календарного месяца; норма рабочего времени за месяц — по производственному календарю при 40-часовой рабочей неделе.</w:t>
      </w:r>
    </w:p>
    <w:p>
      <w:pPr>
        <w:pStyle w:val="BodyText"/>
      </w:pPr>
      <w:r>
        <w:t xml:space="preserve">4.5. Сверхурочная работа оплачивается в соответствии со ст. 152 ТК РФ: в пределах 120 часов в год первые два сверхурочных часа каждого дня или смены — не менее чем в полуторном размере, последующие — не менее чем в двойном; начиная со 121-го часа в году — не менее чем в двойном размере за каждый час.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2026-11-01T20:33:04Z</dcterms:created>
  <dcterms:modified xsi:type="dcterms:W3CDTF">2026-11-01T20:33:04Z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