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одписание-кадровых-документов"/>
    <w:p>
      <w:pPr>
        <w:pStyle w:val="Heading2"/>
      </w:pPr>
      <w:r>
        <w:t xml:space="preserve">на подписание кадровых документов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настоящей доверенностью уполномочивает начальника отдела кадров И. И. Иванову (паспорт 45 00 № 000000, выдан 01.02.2015) подписывать от имени общества кадровые документы.</w:t>
      </w:r>
    </w:p>
    <w:p>
      <w:pPr>
        <w:pStyle w:val="BodyText"/>
      </w:pPr>
      <w:r>
        <w:t xml:space="preserve">Доверенное лицо вправе подписывать: трудовые договоры и дополнительные соглашения к ним; приказы о приёме на работу, переводе, увольнении; приказы о предоставлении отпуска, поощрении и дисциплинарном взыскании; уведомления и предложения работникам; графики отпусков и табели учёта рабочего времени; справки о работе и иные документы, связанные с трудовыми отношениями.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2026-11-06T21:48:37Z</dcterms:created>
  <dcterms:modified xsi:type="dcterms:W3CDTF">2026-11-06T21:48:37Z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