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(ООО «Ромашка»), именуемое в дальнейшем «Поставщик»,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X1abddcebc5db99897928d8ab50c1079f2d4ce39"/>
    <w:p>
      <w:pPr>
        <w:pStyle w:val="Heading2"/>
      </w:pPr>
      <w:r>
        <w:t xml:space="preserve">к договору поставки от 12 марта 2026 г. № 47/П в связи с переименованием организации</w:t>
      </w:r>
    </w:p>
    <w:p>
      <w:pPr>
        <w:pStyle w:val="FirstParagraph"/>
      </w:pPr>
      <w:r>
        <w:t xml:space="preserve">16 ноября 2026 г. № 1</w:t>
      </w:r>
    </w:p>
    <w:p>
      <w:pPr>
        <w:pStyle w:val="BodyText"/>
      </w:pPr>
      <w:r>
        <w:t xml:space="preserve">Общество с ограниченной ответственностью «Ромашка» сменило наименование на общество с ограниченной ответственностью «Ромашка Плюс». Изменения внесены в Единый государственный реестр юридических лиц 10 ноября 2026 года, лист записи № 2260000000000, и не затрагивают права и обязанности сторон по договору поставки от 12 марта 2026 г. № 47/П.</w:t>
      </w:r>
    </w:p>
    <w:p>
      <w:pPr>
        <w:pStyle w:val="BodyText"/>
      </w:pPr>
      <w:r>
        <w:t xml:space="preserve">Стороны договорились по всему тексту договора поставки от 12 марта 2026 г. № 47/П и приложений к нему читать наименование «Общество с ограниченной ответственностью «Ромашка» (ООО «Ромашка»)» как «Общество с ограниченной ответственностью «Ромашка Плюс» (ООО «Ромашка Плюс»).</w:t>
      </w:r>
    </w:p>
    <w:p>
      <w:pPr>
        <w:pStyle w:val="BodyText"/>
      </w:pPr>
      <w:r>
        <w:t xml:space="preserve">Остальные условия договора не меняются. Соглашение вступает в силу с 10 ноября 2026 года и является неотъемлемой частью договора.</w:t>
      </w:r>
    </w:p>
    <w:p>
      <w:pPr>
        <w:pStyle w:val="BodyText"/>
      </w:pPr>
      <w:r>
        <w:t xml:space="preserve">Приложение: копия листа записи ЕГРЮЛ от 10 ноября 2026 года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2026-11-01T20:32:36Z</dcterms:created>
  <dcterms:modified xsi:type="dcterms:W3CDTF">2026-11-01T20:32:36Z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