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ООО «СтройМонтаж», именуемое в дальнейшем «Подрядчик», в лице генерального директора А. В. Смирнова, действующего на основании устава,</w:t>
      </w:r>
    </w:p>
    <w:p>
      <w:pPr>
        <w:pStyle w:val="BodyText"/>
      </w:pPr>
      <w:r>
        <w:t xml:space="preserve">и ООО «Ромашка», именуемое в дальнейшем «Заказчик», в лице директора П. П. Петрова, действующего на основании устава,</w:t>
      </w:r>
    </w:p>
    <w:p>
      <w:pPr>
        <w:pStyle w:val="BodyText"/>
      </w:pPr>
      <w:r>
        <w:t xml:space="preserve">заключили настоящее соглашение о нижеследующем.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7229dffcbe4d166bc5fe71fb87cbf43220c2015"/>
    <w:p>
      <w:pPr>
        <w:pStyle w:val="Heading2"/>
      </w:pPr>
      <w:r>
        <w:t xml:space="preserve">к договору подряда от 12 января 2026 г. № 7-П об изменении суммы и объёма работ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Стороны договорились увеличить объём работ по договору подряда от 12 января 2026 г. № 7-П: дополнительно выполнить устройство перегородок на третьем этаже в осях 3–7 согласно смете № 2, приложенной к настоящему соглашению.</w:t>
      </w:r>
    </w:p>
    <w:p>
      <w:pPr>
        <w:pStyle w:val="BodyText"/>
      </w:pPr>
      <w:r>
        <w:t xml:space="preserve">2. Стоимость работ по договору увеличивается на 486 000 рублей, в том числе НДС по ставке, установленной законом, и составляет 3 240 000 рублей. Новая смета № 2 является неотъемлемой частью соглашения.</w:t>
      </w:r>
    </w:p>
    <w:p>
      <w:pPr>
        <w:pStyle w:val="BodyText"/>
      </w:pPr>
      <w:r>
        <w:t xml:space="preserve">3. Срок выполнения дополнительных работ — до 20 декабря 2026 года. Остальные сроки по договору не меняются.</w:t>
      </w:r>
    </w:p>
    <w:p>
      <w:pPr>
        <w:pStyle w:val="BodyText"/>
      </w:pPr>
      <w:r>
        <w:t xml:space="preserve">4. Настоящее соглашение вступает в силу с момента подписания,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2026-11-03T20:33:21Z</dcterms:created>
  <dcterms:modified xsi:type="dcterms:W3CDTF">2026-11-03T20:33:21Z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