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p>
      <w:pPr>
        <w:pStyle w:val="BodyText"/>
      </w:pPr>
      <w:r>
        <w:t xml:space="preserve">далее — Работник, заключили соглашение о нижеследующем.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о-полной-материальной-ответственности"/>
    <w:p>
      <w:pPr>
        <w:pStyle w:val="Heading2"/>
      </w:pPr>
      <w:r>
        <w:t xml:space="preserve">о полной материальной ответственности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Пункт 4.2 трудового договора от 12 января 2026 г. № 14-ТД изложить в редакции: «Работник принимает на себя полную материальную ответственность за недостачу вверенного ему Работодателем имущества, а также за ущерб, возникший у Работодателя в результате возмещения им ущерба иным лицам».</w:t>
      </w:r>
    </w:p>
    <w:p>
      <w:pPr>
        <w:pStyle w:val="BodyText"/>
      </w:pPr>
      <w:r>
        <w:t xml:space="preserve">2. Работнику вверяются товарно-материальные ценности на складе по адресу: г. Москва, ул. Складская, д. 7. Перечень должностей и работ, при которых вводится полная материальная ответственность, утверждён приказом от 10 января 2026 г. № 2.</w:t>
      </w:r>
    </w:p>
    <w:p>
      <w:pPr>
        <w:pStyle w:val="BodyText"/>
      </w:pPr>
      <w:r>
        <w:t xml:space="preserve">3. Работник обязан бережно относиться к вверенному имуществу, вести учёт и отчётность по нему, участвовать в инвентаризации и письменно объяснять причины недостачи.</w:t>
      </w:r>
    </w:p>
    <w:p>
      <w:pPr>
        <w:pStyle w:val="BodyText"/>
      </w:pPr>
      <w:r>
        <w:t xml:space="preserve">4. Соглашение вступает в силу с 16 ноября 2026 г. и является неотъемлемой частью трудового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2026-11-06T21:47:55Z</dcterms:created>
  <dcterms:modified xsi:type="dcterms:W3CDTF">2026-11-06T21:47:55Z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